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5E" w:rsidRPr="003B3EC6" w:rsidRDefault="00AA025E" w:rsidP="001B469A">
      <w:pPr>
        <w:jc w:val="center"/>
        <w:rPr>
          <w:rFonts w:ascii="Arial" w:hAnsi="Arial" w:cs="Arial"/>
          <w:b/>
          <w:snapToGrid w:val="0"/>
          <w:color w:val="000000"/>
          <w:sz w:val="20"/>
          <w:szCs w:val="20"/>
        </w:rPr>
      </w:pPr>
    </w:p>
    <w:p w:rsidR="00AA025E" w:rsidRPr="003B3EC6" w:rsidRDefault="00AA025E" w:rsidP="00AA025E">
      <w:pPr>
        <w:jc w:val="center"/>
        <w:rPr>
          <w:rFonts w:ascii="Arial" w:hAnsi="Arial" w:cs="Arial"/>
          <w:b/>
          <w:snapToGrid w:val="0"/>
          <w:color w:val="000000"/>
          <w:sz w:val="20"/>
          <w:szCs w:val="20"/>
        </w:rPr>
      </w:pPr>
      <w:r w:rsidRPr="003B3EC6">
        <w:rPr>
          <w:rFonts w:ascii="Arial" w:hAnsi="Arial" w:cs="Arial"/>
          <w:b/>
          <w:snapToGrid w:val="0"/>
          <w:color w:val="000000"/>
          <w:sz w:val="20"/>
          <w:szCs w:val="20"/>
        </w:rPr>
        <w:t xml:space="preserve">Сообщение о существенном факте </w:t>
      </w:r>
    </w:p>
    <w:p w:rsidR="00AA025E" w:rsidRPr="003B3EC6" w:rsidRDefault="00AA025E" w:rsidP="00AA025E">
      <w:pPr>
        <w:jc w:val="center"/>
        <w:rPr>
          <w:rFonts w:ascii="Arial" w:hAnsi="Arial" w:cs="Arial"/>
          <w:b/>
          <w:snapToGrid w:val="0"/>
          <w:color w:val="000000"/>
          <w:sz w:val="20"/>
          <w:szCs w:val="20"/>
        </w:rPr>
      </w:pPr>
      <w:r w:rsidRPr="003B3EC6">
        <w:rPr>
          <w:rFonts w:ascii="Arial" w:hAnsi="Arial" w:cs="Arial"/>
          <w:b/>
          <w:snapToGrid w:val="0"/>
          <w:color w:val="000000"/>
          <w:sz w:val="20"/>
          <w:szCs w:val="20"/>
        </w:rPr>
        <w:t>«Об опровержении или корректировке информации, ранее опубликованной в Ленте новостей»</w:t>
      </w:r>
    </w:p>
    <w:p w:rsidR="00AA025E" w:rsidRPr="003B3EC6" w:rsidRDefault="00AA025E" w:rsidP="00AA025E">
      <w:pPr>
        <w:jc w:val="center"/>
        <w:rPr>
          <w:rFonts w:ascii="Arial" w:hAnsi="Arial" w:cs="Arial"/>
          <w:b/>
          <w:snapToGrid w:val="0"/>
          <w:color w:val="000000"/>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245"/>
      </w:tblGrid>
      <w:tr w:rsidR="00AA025E" w:rsidRPr="003B3EC6" w:rsidTr="00FE6713">
        <w:tc>
          <w:tcPr>
            <w:tcW w:w="10031" w:type="dxa"/>
            <w:gridSpan w:val="2"/>
          </w:tcPr>
          <w:p w:rsidR="00AA025E" w:rsidRPr="003B3EC6" w:rsidRDefault="00AA025E" w:rsidP="004E5FCE">
            <w:pPr>
              <w:jc w:val="center"/>
              <w:rPr>
                <w:rFonts w:ascii="Arial" w:hAnsi="Arial" w:cs="Arial"/>
                <w:snapToGrid w:val="0"/>
                <w:color w:val="000000"/>
                <w:sz w:val="20"/>
                <w:szCs w:val="20"/>
              </w:rPr>
            </w:pPr>
            <w:r w:rsidRPr="003B3EC6">
              <w:rPr>
                <w:rFonts w:ascii="Arial" w:hAnsi="Arial" w:cs="Arial"/>
                <w:snapToGrid w:val="0"/>
                <w:color w:val="000000"/>
                <w:sz w:val="20"/>
                <w:szCs w:val="20"/>
              </w:rPr>
              <w:t>1. Общие сведения</w:t>
            </w:r>
          </w:p>
        </w:tc>
      </w:tr>
      <w:tr w:rsidR="003B3EC6" w:rsidRPr="003B3EC6" w:rsidTr="003B3EC6">
        <w:tc>
          <w:tcPr>
            <w:tcW w:w="4786" w:type="dxa"/>
            <w:vAlign w:val="center"/>
          </w:tcPr>
          <w:p w:rsidR="003B3EC6" w:rsidRPr="003B3EC6" w:rsidRDefault="003B3EC6" w:rsidP="004E5FCE">
            <w:pPr>
              <w:ind w:left="57" w:right="57"/>
              <w:rPr>
                <w:rFonts w:ascii="Arial" w:hAnsi="Arial" w:cs="Arial"/>
                <w:sz w:val="20"/>
                <w:szCs w:val="20"/>
              </w:rPr>
            </w:pPr>
            <w:r w:rsidRPr="003B3EC6">
              <w:rPr>
                <w:rFonts w:ascii="Arial" w:hAnsi="Arial" w:cs="Arial"/>
                <w:snapToGrid w:val="0"/>
                <w:color w:val="000000"/>
                <w:sz w:val="20"/>
                <w:szCs w:val="20"/>
              </w:rPr>
              <w:t>1.1. Полное фирменное наименование эмитента (для некоммерческой организации — наименование)</w:t>
            </w:r>
          </w:p>
        </w:tc>
        <w:tc>
          <w:tcPr>
            <w:tcW w:w="5245" w:type="dxa"/>
          </w:tcPr>
          <w:p w:rsidR="003B3EC6" w:rsidRPr="008B4D2D" w:rsidRDefault="003B3EC6" w:rsidP="001F19CB">
            <w:pPr>
              <w:ind w:left="57"/>
              <w:jc w:val="center"/>
              <w:rPr>
                <w:rFonts w:ascii="Arial" w:hAnsi="Arial" w:cs="Arial"/>
                <w:b/>
                <w:bCs/>
                <w:i/>
                <w:iCs/>
                <w:sz w:val="20"/>
                <w:szCs w:val="20"/>
              </w:rPr>
            </w:pPr>
            <w:r w:rsidRPr="008B4D2D">
              <w:rPr>
                <w:rFonts w:ascii="Arial" w:hAnsi="Arial" w:cs="Arial"/>
                <w:b/>
                <w:bCs/>
                <w:i/>
                <w:iCs/>
                <w:sz w:val="20"/>
                <w:szCs w:val="20"/>
              </w:rPr>
              <w:t xml:space="preserve">Акционерное общество </w:t>
            </w:r>
          </w:p>
          <w:p w:rsidR="003B3EC6" w:rsidRPr="008B4D2D" w:rsidRDefault="003B3EC6" w:rsidP="001F19CB">
            <w:pPr>
              <w:ind w:left="57"/>
              <w:jc w:val="center"/>
              <w:rPr>
                <w:rFonts w:ascii="Arial" w:hAnsi="Arial" w:cs="Arial"/>
                <w:b/>
                <w:bCs/>
                <w:i/>
                <w:iCs/>
                <w:sz w:val="20"/>
                <w:szCs w:val="20"/>
              </w:rPr>
            </w:pPr>
            <w:r w:rsidRPr="008B4D2D">
              <w:rPr>
                <w:rFonts w:ascii="Arial" w:hAnsi="Arial" w:cs="Arial"/>
                <w:b/>
                <w:bCs/>
                <w:i/>
                <w:iCs/>
                <w:sz w:val="20"/>
                <w:szCs w:val="20"/>
              </w:rPr>
              <w:t>«Коммерческий банк ДельтаКредит»</w:t>
            </w:r>
          </w:p>
        </w:tc>
      </w:tr>
      <w:tr w:rsidR="003B3EC6" w:rsidRPr="003B3EC6" w:rsidTr="003B3EC6">
        <w:tc>
          <w:tcPr>
            <w:tcW w:w="4786" w:type="dxa"/>
            <w:vAlign w:val="center"/>
          </w:tcPr>
          <w:p w:rsidR="003B3EC6" w:rsidRPr="003B3EC6" w:rsidRDefault="003B3EC6" w:rsidP="004E5FCE">
            <w:pPr>
              <w:ind w:left="57" w:right="57"/>
              <w:rPr>
                <w:rFonts w:ascii="Arial" w:hAnsi="Arial" w:cs="Arial"/>
                <w:sz w:val="20"/>
                <w:szCs w:val="20"/>
              </w:rPr>
            </w:pPr>
            <w:r w:rsidRPr="003B3EC6">
              <w:rPr>
                <w:rFonts w:ascii="Arial" w:hAnsi="Arial" w:cs="Arial"/>
                <w:snapToGrid w:val="0"/>
                <w:color w:val="000000"/>
                <w:sz w:val="20"/>
                <w:szCs w:val="20"/>
              </w:rPr>
              <w:t>1.2. Сокращенное фирменное наименование эмитента</w:t>
            </w:r>
          </w:p>
        </w:tc>
        <w:tc>
          <w:tcPr>
            <w:tcW w:w="5245" w:type="dxa"/>
          </w:tcPr>
          <w:p w:rsidR="003B3EC6" w:rsidRPr="008B4D2D" w:rsidRDefault="003B3EC6" w:rsidP="001F19CB">
            <w:pPr>
              <w:ind w:left="57"/>
              <w:jc w:val="center"/>
              <w:rPr>
                <w:rFonts w:ascii="Arial" w:hAnsi="Arial" w:cs="Arial"/>
                <w:b/>
                <w:bCs/>
                <w:i/>
                <w:iCs/>
                <w:sz w:val="20"/>
                <w:szCs w:val="20"/>
              </w:rPr>
            </w:pPr>
            <w:r w:rsidRPr="008B4D2D">
              <w:rPr>
                <w:rFonts w:ascii="Arial" w:hAnsi="Arial" w:cs="Arial"/>
                <w:b/>
                <w:bCs/>
                <w:i/>
                <w:iCs/>
                <w:sz w:val="20"/>
                <w:szCs w:val="20"/>
              </w:rPr>
              <w:t>АО «КБ ДельтаКредит»</w:t>
            </w:r>
          </w:p>
        </w:tc>
      </w:tr>
      <w:tr w:rsidR="003B3EC6" w:rsidRPr="003B3EC6" w:rsidTr="003B3EC6">
        <w:tc>
          <w:tcPr>
            <w:tcW w:w="4786" w:type="dxa"/>
            <w:vAlign w:val="center"/>
          </w:tcPr>
          <w:p w:rsidR="003B3EC6" w:rsidRPr="003B3EC6" w:rsidRDefault="003B3EC6" w:rsidP="004E5FCE">
            <w:pPr>
              <w:ind w:left="57" w:right="57"/>
              <w:rPr>
                <w:rFonts w:ascii="Arial" w:hAnsi="Arial" w:cs="Arial"/>
                <w:sz w:val="20"/>
                <w:szCs w:val="20"/>
              </w:rPr>
            </w:pPr>
            <w:r w:rsidRPr="003B3EC6">
              <w:rPr>
                <w:rFonts w:ascii="Arial" w:hAnsi="Arial" w:cs="Arial"/>
                <w:snapToGrid w:val="0"/>
                <w:color w:val="000000"/>
                <w:sz w:val="20"/>
                <w:szCs w:val="20"/>
              </w:rPr>
              <w:t>1.3. Место нахождения эмитента</w:t>
            </w:r>
          </w:p>
        </w:tc>
        <w:tc>
          <w:tcPr>
            <w:tcW w:w="5245" w:type="dxa"/>
          </w:tcPr>
          <w:p w:rsidR="003B3EC6" w:rsidRPr="008B4D2D" w:rsidRDefault="003B3EC6" w:rsidP="001F19CB">
            <w:pPr>
              <w:ind w:left="57"/>
              <w:jc w:val="center"/>
              <w:rPr>
                <w:rFonts w:ascii="Arial" w:hAnsi="Arial" w:cs="Arial"/>
                <w:b/>
                <w:bCs/>
                <w:i/>
                <w:iCs/>
                <w:sz w:val="20"/>
                <w:szCs w:val="20"/>
              </w:rPr>
            </w:pPr>
            <w:r w:rsidRPr="008B4D2D">
              <w:rPr>
                <w:rFonts w:ascii="Arial" w:hAnsi="Arial" w:cs="Arial"/>
                <w:b/>
                <w:bCs/>
                <w:i/>
                <w:iCs/>
                <w:sz w:val="20"/>
                <w:szCs w:val="20"/>
              </w:rPr>
              <w:t>125009, г. Москва, ул. Воздвиженка, д.4/7, стр.2</w:t>
            </w:r>
          </w:p>
        </w:tc>
      </w:tr>
      <w:tr w:rsidR="003B3EC6" w:rsidRPr="003B3EC6" w:rsidTr="003B3EC6">
        <w:tc>
          <w:tcPr>
            <w:tcW w:w="4786" w:type="dxa"/>
            <w:vAlign w:val="center"/>
          </w:tcPr>
          <w:p w:rsidR="003B3EC6" w:rsidRPr="003B3EC6" w:rsidRDefault="003B3EC6" w:rsidP="004E5FCE">
            <w:pPr>
              <w:ind w:left="57" w:right="57"/>
              <w:rPr>
                <w:rFonts w:ascii="Arial" w:hAnsi="Arial" w:cs="Arial"/>
                <w:sz w:val="20"/>
                <w:szCs w:val="20"/>
              </w:rPr>
            </w:pPr>
            <w:r w:rsidRPr="003B3EC6">
              <w:rPr>
                <w:rFonts w:ascii="Arial" w:hAnsi="Arial" w:cs="Arial"/>
                <w:snapToGrid w:val="0"/>
                <w:color w:val="000000"/>
                <w:sz w:val="20"/>
                <w:szCs w:val="20"/>
              </w:rPr>
              <w:t>1.4. ОГРН эмитента</w:t>
            </w:r>
          </w:p>
        </w:tc>
        <w:tc>
          <w:tcPr>
            <w:tcW w:w="5245" w:type="dxa"/>
          </w:tcPr>
          <w:p w:rsidR="003B3EC6" w:rsidRPr="008B4D2D" w:rsidRDefault="003B3EC6" w:rsidP="001F19CB">
            <w:pPr>
              <w:ind w:left="57"/>
              <w:jc w:val="center"/>
              <w:rPr>
                <w:rFonts w:ascii="Arial" w:hAnsi="Arial" w:cs="Arial"/>
                <w:b/>
                <w:bCs/>
                <w:i/>
                <w:iCs/>
                <w:sz w:val="20"/>
                <w:szCs w:val="20"/>
              </w:rPr>
            </w:pPr>
            <w:r w:rsidRPr="008B4D2D">
              <w:rPr>
                <w:rFonts w:ascii="Arial" w:hAnsi="Arial" w:cs="Arial"/>
                <w:b/>
                <w:bCs/>
                <w:i/>
                <w:iCs/>
                <w:sz w:val="20"/>
                <w:szCs w:val="20"/>
              </w:rPr>
              <w:t>1027739051988</w:t>
            </w:r>
          </w:p>
        </w:tc>
      </w:tr>
      <w:tr w:rsidR="003B3EC6" w:rsidRPr="003B3EC6" w:rsidTr="003B3EC6">
        <w:tc>
          <w:tcPr>
            <w:tcW w:w="4786" w:type="dxa"/>
            <w:vAlign w:val="center"/>
          </w:tcPr>
          <w:p w:rsidR="003B3EC6" w:rsidRPr="003B3EC6" w:rsidRDefault="003B3EC6" w:rsidP="004E5FCE">
            <w:pPr>
              <w:ind w:left="57" w:right="57"/>
              <w:rPr>
                <w:rFonts w:ascii="Arial" w:hAnsi="Arial" w:cs="Arial"/>
                <w:sz w:val="20"/>
                <w:szCs w:val="20"/>
              </w:rPr>
            </w:pPr>
            <w:r w:rsidRPr="003B3EC6">
              <w:rPr>
                <w:rFonts w:ascii="Arial" w:hAnsi="Arial" w:cs="Arial"/>
                <w:sz w:val="20"/>
                <w:szCs w:val="20"/>
              </w:rPr>
              <w:t>1.5. ИНН эмитента</w:t>
            </w:r>
          </w:p>
        </w:tc>
        <w:tc>
          <w:tcPr>
            <w:tcW w:w="5245" w:type="dxa"/>
          </w:tcPr>
          <w:p w:rsidR="003B3EC6" w:rsidRPr="008B4D2D" w:rsidRDefault="003B3EC6" w:rsidP="001F19CB">
            <w:pPr>
              <w:ind w:left="57"/>
              <w:jc w:val="center"/>
              <w:rPr>
                <w:rFonts w:ascii="Arial" w:hAnsi="Arial" w:cs="Arial"/>
                <w:b/>
                <w:bCs/>
                <w:i/>
                <w:iCs/>
                <w:sz w:val="20"/>
                <w:szCs w:val="20"/>
              </w:rPr>
            </w:pPr>
            <w:r w:rsidRPr="008B4D2D">
              <w:rPr>
                <w:rFonts w:ascii="Arial" w:hAnsi="Arial" w:cs="Arial"/>
                <w:b/>
                <w:bCs/>
                <w:i/>
                <w:iCs/>
                <w:sz w:val="20"/>
                <w:szCs w:val="20"/>
              </w:rPr>
              <w:t>7705285534</w:t>
            </w:r>
          </w:p>
        </w:tc>
      </w:tr>
      <w:tr w:rsidR="003B3EC6" w:rsidRPr="003B3EC6" w:rsidTr="003B3EC6">
        <w:tc>
          <w:tcPr>
            <w:tcW w:w="4786" w:type="dxa"/>
            <w:vAlign w:val="center"/>
          </w:tcPr>
          <w:p w:rsidR="003B3EC6" w:rsidRPr="003B3EC6" w:rsidRDefault="003B3EC6" w:rsidP="004E5FCE">
            <w:pPr>
              <w:ind w:left="57" w:right="57"/>
              <w:rPr>
                <w:rFonts w:ascii="Arial" w:hAnsi="Arial" w:cs="Arial"/>
                <w:sz w:val="20"/>
                <w:szCs w:val="20"/>
              </w:rPr>
            </w:pPr>
            <w:r w:rsidRPr="003B3EC6">
              <w:rPr>
                <w:rFonts w:ascii="Arial" w:hAnsi="Arial" w:cs="Arial"/>
                <w:snapToGrid w:val="0"/>
                <w:color w:val="000000"/>
                <w:sz w:val="20"/>
                <w:szCs w:val="20"/>
              </w:rPr>
              <w:t>1.6. Уникальный код эмитента, присвоенный регистрирующим органом</w:t>
            </w:r>
          </w:p>
        </w:tc>
        <w:tc>
          <w:tcPr>
            <w:tcW w:w="5245" w:type="dxa"/>
          </w:tcPr>
          <w:p w:rsidR="003B3EC6" w:rsidRPr="008B4D2D" w:rsidRDefault="003B3EC6" w:rsidP="001F19CB">
            <w:pPr>
              <w:ind w:left="57"/>
              <w:jc w:val="center"/>
              <w:rPr>
                <w:rFonts w:ascii="Arial" w:hAnsi="Arial" w:cs="Arial"/>
                <w:b/>
                <w:bCs/>
                <w:i/>
                <w:iCs/>
                <w:sz w:val="20"/>
                <w:szCs w:val="20"/>
              </w:rPr>
            </w:pPr>
            <w:r w:rsidRPr="008B4D2D">
              <w:rPr>
                <w:rFonts w:ascii="Arial" w:hAnsi="Arial" w:cs="Arial"/>
                <w:b/>
                <w:bCs/>
                <w:i/>
                <w:iCs/>
                <w:sz w:val="20"/>
                <w:szCs w:val="20"/>
              </w:rPr>
              <w:t>03338В</w:t>
            </w:r>
          </w:p>
        </w:tc>
      </w:tr>
      <w:tr w:rsidR="003B3EC6" w:rsidRPr="003B3EC6" w:rsidTr="003B3EC6">
        <w:tc>
          <w:tcPr>
            <w:tcW w:w="4786" w:type="dxa"/>
            <w:vAlign w:val="center"/>
          </w:tcPr>
          <w:p w:rsidR="003B3EC6" w:rsidRPr="003B3EC6" w:rsidRDefault="003B3EC6" w:rsidP="004E5FCE">
            <w:pPr>
              <w:ind w:left="57" w:right="57"/>
              <w:rPr>
                <w:rFonts w:ascii="Arial" w:hAnsi="Arial" w:cs="Arial"/>
                <w:sz w:val="20"/>
                <w:szCs w:val="20"/>
              </w:rPr>
            </w:pPr>
            <w:r w:rsidRPr="003B3EC6">
              <w:rPr>
                <w:rFonts w:ascii="Arial" w:hAnsi="Arial" w:cs="Arial"/>
                <w:snapToGrid w:val="0"/>
                <w:color w:val="000000"/>
                <w:sz w:val="20"/>
                <w:szCs w:val="20"/>
              </w:rPr>
              <w:t>1.7. Адрес страницы в сети Интернет, используемой эмитентом для раскрытия информации</w:t>
            </w:r>
          </w:p>
        </w:tc>
        <w:tc>
          <w:tcPr>
            <w:tcW w:w="5245" w:type="dxa"/>
          </w:tcPr>
          <w:p w:rsidR="003B3EC6" w:rsidRPr="008B4D2D" w:rsidRDefault="00E8171D" w:rsidP="001F19CB">
            <w:pPr>
              <w:widowControl w:val="0"/>
              <w:overflowPunct w:val="0"/>
              <w:adjustRightInd w:val="0"/>
              <w:ind w:left="57"/>
              <w:jc w:val="center"/>
              <w:textAlignment w:val="baseline"/>
              <w:rPr>
                <w:rFonts w:ascii="Arial" w:hAnsi="Arial" w:cs="Arial"/>
                <w:b/>
                <w:bCs/>
                <w:i/>
                <w:iCs/>
                <w:sz w:val="20"/>
                <w:szCs w:val="20"/>
              </w:rPr>
            </w:pPr>
            <w:hyperlink r:id="rId9" w:history="1">
              <w:r w:rsidR="003B3EC6" w:rsidRPr="008B4D2D">
                <w:rPr>
                  <w:rFonts w:ascii="Arial" w:hAnsi="Arial" w:cs="Arial"/>
                  <w:b/>
                  <w:bCs/>
                  <w:i/>
                  <w:iCs/>
                  <w:sz w:val="20"/>
                  <w:szCs w:val="20"/>
                </w:rPr>
                <w:t>www.e-disclosure.ru/portal/company.aspx?id=8251</w:t>
              </w:r>
            </w:hyperlink>
            <w:r w:rsidR="003B3EC6" w:rsidRPr="008B4D2D">
              <w:rPr>
                <w:rFonts w:ascii="Arial" w:hAnsi="Arial" w:cs="Arial"/>
                <w:b/>
                <w:bCs/>
                <w:i/>
                <w:iCs/>
                <w:sz w:val="20"/>
                <w:szCs w:val="20"/>
              </w:rPr>
              <w:t>; www.deltacredit.ru</w:t>
            </w:r>
          </w:p>
        </w:tc>
      </w:tr>
    </w:tbl>
    <w:p w:rsidR="00AA025E" w:rsidRPr="003B3EC6" w:rsidRDefault="00AA025E" w:rsidP="001B469A">
      <w:pPr>
        <w:jc w:val="center"/>
        <w:rPr>
          <w:rFonts w:ascii="Arial" w:hAnsi="Arial" w:cs="Arial"/>
          <w:b/>
          <w:snapToGrid w:val="0"/>
          <w:color w:val="000000"/>
          <w:sz w:val="20"/>
          <w:szCs w:val="20"/>
        </w:rPr>
      </w:pPr>
    </w:p>
    <w:tbl>
      <w:tblPr>
        <w:tblStyle w:val="a9"/>
        <w:tblW w:w="10007" w:type="dxa"/>
        <w:tblLook w:val="04A0" w:firstRow="1" w:lastRow="0" w:firstColumn="1" w:lastColumn="0" w:noHBand="0" w:noVBand="1"/>
      </w:tblPr>
      <w:tblGrid>
        <w:gridCol w:w="10007"/>
      </w:tblGrid>
      <w:tr w:rsidR="00AA025E" w:rsidRPr="003B3EC6" w:rsidTr="00AA025E">
        <w:trPr>
          <w:trHeight w:val="292"/>
        </w:trPr>
        <w:tc>
          <w:tcPr>
            <w:tcW w:w="10007" w:type="dxa"/>
          </w:tcPr>
          <w:p w:rsidR="00AA025E" w:rsidRPr="003B3EC6" w:rsidRDefault="00AA025E" w:rsidP="004E5FCE">
            <w:pPr>
              <w:jc w:val="center"/>
              <w:rPr>
                <w:rFonts w:ascii="Arial" w:hAnsi="Arial" w:cs="Arial"/>
                <w:sz w:val="20"/>
                <w:szCs w:val="20"/>
              </w:rPr>
            </w:pPr>
            <w:r w:rsidRPr="003B3EC6">
              <w:rPr>
                <w:rFonts w:ascii="Arial" w:hAnsi="Arial" w:cs="Arial"/>
                <w:sz w:val="20"/>
                <w:szCs w:val="20"/>
              </w:rPr>
              <w:t>2. Содержание сообщения</w:t>
            </w:r>
          </w:p>
        </w:tc>
        <w:bookmarkStart w:id="0" w:name="_GoBack"/>
        <w:bookmarkEnd w:id="0"/>
      </w:tr>
      <w:tr w:rsidR="00AA025E" w:rsidRPr="003B3EC6" w:rsidTr="00AA025E">
        <w:trPr>
          <w:trHeight w:val="281"/>
        </w:trPr>
        <w:tc>
          <w:tcPr>
            <w:tcW w:w="10007" w:type="dxa"/>
          </w:tcPr>
          <w:p w:rsidR="00AA025E" w:rsidRPr="003B3EC6" w:rsidRDefault="00AA025E" w:rsidP="004E5FCE">
            <w:pPr>
              <w:jc w:val="center"/>
              <w:rPr>
                <w:rFonts w:ascii="Arial" w:hAnsi="Arial" w:cs="Arial"/>
                <w:sz w:val="20"/>
                <w:szCs w:val="20"/>
              </w:rPr>
            </w:pPr>
            <w:r w:rsidRPr="003B3EC6">
              <w:rPr>
                <w:rFonts w:ascii="Arial" w:hAnsi="Arial" w:cs="Arial"/>
                <w:b/>
                <w:bCs/>
                <w:sz w:val="20"/>
                <w:szCs w:val="20"/>
              </w:rPr>
              <w:t>Об опровержении или корректировке информации, ранее опубликованной в ленте новостей</w:t>
            </w:r>
          </w:p>
        </w:tc>
      </w:tr>
      <w:tr w:rsidR="00AA025E" w:rsidRPr="003B3EC6" w:rsidTr="00AA025E">
        <w:trPr>
          <w:trHeight w:val="1905"/>
        </w:trPr>
        <w:tc>
          <w:tcPr>
            <w:tcW w:w="10007" w:type="dxa"/>
          </w:tcPr>
          <w:p w:rsidR="00AA025E" w:rsidRPr="003B3EC6" w:rsidRDefault="00AA025E" w:rsidP="00AA025E">
            <w:pPr>
              <w:rPr>
                <w:rFonts w:ascii="Arial" w:hAnsi="Arial" w:cs="Arial"/>
                <w:snapToGrid w:val="0"/>
                <w:color w:val="000000"/>
                <w:sz w:val="20"/>
                <w:szCs w:val="20"/>
              </w:rPr>
            </w:pPr>
            <w:r w:rsidRPr="003B3EC6">
              <w:rPr>
                <w:rFonts w:ascii="Arial" w:hAnsi="Arial" w:cs="Arial"/>
                <w:snapToGrid w:val="0"/>
                <w:color w:val="000000"/>
                <w:sz w:val="20"/>
                <w:szCs w:val="20"/>
              </w:rPr>
              <w:t xml:space="preserve">2.1. Данное сообщение публикуется в порядке изменения (корректировки) информации, содержащейся в ранее опубликованном сообщении. </w:t>
            </w:r>
          </w:p>
          <w:p w:rsidR="00AA025E" w:rsidRPr="003B3EC6" w:rsidRDefault="00AA025E" w:rsidP="00AA025E">
            <w:pPr>
              <w:rPr>
                <w:rFonts w:ascii="Arial" w:hAnsi="Arial" w:cs="Arial"/>
                <w:snapToGrid w:val="0"/>
                <w:color w:val="000000"/>
                <w:sz w:val="20"/>
                <w:szCs w:val="20"/>
              </w:rPr>
            </w:pPr>
            <w:r w:rsidRPr="003B3EC6">
              <w:rPr>
                <w:rFonts w:ascii="Arial" w:hAnsi="Arial" w:cs="Arial"/>
                <w:snapToGrid w:val="0"/>
                <w:color w:val="000000"/>
                <w:sz w:val="20"/>
                <w:szCs w:val="20"/>
              </w:rPr>
              <w:t xml:space="preserve">2.2. Ссылка на ранее опубликованное сообщение, информация в котором изменяется (корректируется): </w:t>
            </w:r>
          </w:p>
          <w:p w:rsidR="005B7DBA" w:rsidRPr="005B7DBA" w:rsidRDefault="005B7DBA" w:rsidP="001042DE">
            <w:pPr>
              <w:jc w:val="both"/>
              <w:rPr>
                <w:rFonts w:ascii="Arial" w:hAnsi="Arial" w:cs="Arial"/>
                <w:b/>
                <w:i/>
                <w:snapToGrid w:val="0"/>
                <w:color w:val="000000"/>
                <w:sz w:val="20"/>
                <w:szCs w:val="20"/>
              </w:rPr>
            </w:pPr>
            <w:hyperlink r:id="rId10" w:history="1">
              <w:r w:rsidRPr="005B7DBA">
                <w:rPr>
                  <w:rStyle w:val="ae"/>
                  <w:rFonts w:ascii="Arial" w:hAnsi="Arial" w:cs="Arial"/>
                  <w:b/>
                  <w:i/>
                  <w:snapToGrid w:val="0"/>
                  <w:sz w:val="20"/>
                  <w:szCs w:val="20"/>
                </w:rPr>
                <w:t>https://www.e-disclosure.ru/portal/event.aspx?EventId=2Cjr-C-AdmQkGMDfik8W</w:t>
              </w:r>
              <w:r w:rsidRPr="005B7DBA">
                <w:rPr>
                  <w:rStyle w:val="ae"/>
                  <w:rFonts w:ascii="Arial" w:hAnsi="Arial" w:cs="Arial"/>
                  <w:b/>
                  <w:i/>
                  <w:snapToGrid w:val="0"/>
                  <w:sz w:val="20"/>
                  <w:szCs w:val="20"/>
                </w:rPr>
                <w:t>B</w:t>
              </w:r>
              <w:r w:rsidRPr="005B7DBA">
                <w:rPr>
                  <w:rStyle w:val="ae"/>
                  <w:rFonts w:ascii="Arial" w:hAnsi="Arial" w:cs="Arial"/>
                  <w:b/>
                  <w:i/>
                  <w:snapToGrid w:val="0"/>
                  <w:sz w:val="20"/>
                  <w:szCs w:val="20"/>
                </w:rPr>
                <w:t>5WA-B-B</w:t>
              </w:r>
            </w:hyperlink>
            <w:r w:rsidRPr="005B7DBA">
              <w:rPr>
                <w:rFonts w:ascii="Arial" w:hAnsi="Arial" w:cs="Arial"/>
                <w:b/>
                <w:i/>
                <w:snapToGrid w:val="0"/>
                <w:color w:val="000000"/>
                <w:sz w:val="20"/>
                <w:szCs w:val="20"/>
              </w:rPr>
              <w:t xml:space="preserve"> </w:t>
            </w:r>
          </w:p>
          <w:p w:rsidR="00AA025E" w:rsidRPr="003B3EC6" w:rsidRDefault="00AA025E" w:rsidP="001042DE">
            <w:pPr>
              <w:jc w:val="both"/>
              <w:rPr>
                <w:rFonts w:ascii="Arial" w:hAnsi="Arial" w:cs="Arial"/>
                <w:b/>
                <w:snapToGrid w:val="0"/>
                <w:color w:val="FF0000"/>
                <w:sz w:val="20"/>
                <w:szCs w:val="20"/>
              </w:rPr>
            </w:pPr>
            <w:r w:rsidRPr="003B3EC6">
              <w:rPr>
                <w:rFonts w:ascii="Arial" w:hAnsi="Arial" w:cs="Arial"/>
                <w:snapToGrid w:val="0"/>
                <w:color w:val="000000"/>
                <w:sz w:val="20"/>
                <w:szCs w:val="20"/>
              </w:rPr>
              <w:t>2.3. Краткое описание внесенных изменений:</w:t>
            </w:r>
            <w:r w:rsidR="00EC3E5D" w:rsidRPr="003B3EC6">
              <w:rPr>
                <w:rFonts w:ascii="Arial" w:hAnsi="Arial" w:cs="Arial"/>
                <w:b/>
                <w:snapToGrid w:val="0"/>
                <w:color w:val="FF0000"/>
                <w:sz w:val="20"/>
                <w:szCs w:val="20"/>
              </w:rPr>
              <w:t xml:space="preserve"> </w:t>
            </w:r>
            <w:r w:rsidR="00EC3E5D" w:rsidRPr="003B3EC6">
              <w:rPr>
                <w:rFonts w:ascii="Arial" w:hAnsi="Arial" w:cs="Arial"/>
                <w:b/>
                <w:snapToGrid w:val="0"/>
                <w:sz w:val="20"/>
                <w:szCs w:val="20"/>
              </w:rPr>
              <w:t>был</w:t>
            </w:r>
            <w:r w:rsidR="005B7DBA">
              <w:rPr>
                <w:rFonts w:ascii="Arial" w:hAnsi="Arial" w:cs="Arial"/>
                <w:b/>
                <w:snapToGrid w:val="0"/>
                <w:sz w:val="20"/>
                <w:szCs w:val="20"/>
              </w:rPr>
              <w:t>о</w:t>
            </w:r>
            <w:r w:rsidR="009F1C38">
              <w:rPr>
                <w:rFonts w:ascii="Arial" w:hAnsi="Arial" w:cs="Arial"/>
                <w:b/>
                <w:snapToGrid w:val="0"/>
                <w:sz w:val="20"/>
                <w:szCs w:val="20"/>
              </w:rPr>
              <w:t xml:space="preserve"> исправлено</w:t>
            </w:r>
            <w:r w:rsidR="006D0CCC">
              <w:rPr>
                <w:rFonts w:ascii="Arial" w:hAnsi="Arial" w:cs="Arial"/>
                <w:b/>
                <w:snapToGrid w:val="0"/>
                <w:sz w:val="20"/>
                <w:szCs w:val="20"/>
              </w:rPr>
              <w:t xml:space="preserve"> содержание п. 2.6 Сообщения, а именно «</w:t>
            </w:r>
            <w:r w:rsidR="006D0CCC" w:rsidRPr="006D0CCC">
              <w:rPr>
                <w:rFonts w:ascii="Arial" w:hAnsi="Arial" w:cs="Arial"/>
                <w:b/>
                <w:snapToGrid w:val="0"/>
                <w:sz w:val="20"/>
                <w:szCs w:val="20"/>
              </w:rPr>
              <w:t>Условия размещения ценных бумаг, определенные решением об их размещении</w:t>
            </w:r>
            <w:r w:rsidR="006D0CCC">
              <w:rPr>
                <w:rFonts w:ascii="Arial" w:hAnsi="Arial" w:cs="Arial"/>
                <w:b/>
                <w:snapToGrid w:val="0"/>
                <w:sz w:val="20"/>
                <w:szCs w:val="20"/>
              </w:rPr>
              <w:t>».</w:t>
            </w:r>
          </w:p>
          <w:p w:rsidR="00AA025E" w:rsidRPr="003B3EC6" w:rsidRDefault="00AA025E" w:rsidP="00AA025E">
            <w:pPr>
              <w:rPr>
                <w:rFonts w:ascii="Arial" w:hAnsi="Arial" w:cs="Arial"/>
                <w:snapToGrid w:val="0"/>
                <w:color w:val="000000"/>
                <w:sz w:val="20"/>
                <w:szCs w:val="20"/>
              </w:rPr>
            </w:pPr>
            <w:r w:rsidRPr="003B3EC6">
              <w:rPr>
                <w:rFonts w:ascii="Arial" w:hAnsi="Arial" w:cs="Arial"/>
                <w:snapToGrid w:val="0"/>
                <w:color w:val="000000"/>
                <w:sz w:val="20"/>
                <w:szCs w:val="20"/>
              </w:rPr>
              <w:t>2.4. Полный текст публикуемого сообщения с учетом внесенных изменений:</w:t>
            </w:r>
          </w:p>
          <w:p w:rsidR="00AA025E" w:rsidRPr="003B3EC6" w:rsidRDefault="00AA025E" w:rsidP="00AA025E">
            <w:pPr>
              <w:rPr>
                <w:rFonts w:ascii="Arial" w:hAnsi="Arial" w:cs="Arial"/>
                <w:b/>
                <w:snapToGrid w:val="0"/>
                <w:color w:val="000000"/>
                <w:sz w:val="20"/>
                <w:szCs w:val="20"/>
              </w:rPr>
            </w:pPr>
          </w:p>
          <w:p w:rsidR="00AA025E" w:rsidRPr="003B3EC6" w:rsidRDefault="00AA025E" w:rsidP="00AA025E">
            <w:pPr>
              <w:jc w:val="center"/>
              <w:rPr>
                <w:rFonts w:ascii="Arial" w:hAnsi="Arial" w:cs="Arial"/>
                <w:b/>
                <w:snapToGrid w:val="0"/>
                <w:color w:val="000000"/>
                <w:sz w:val="20"/>
                <w:szCs w:val="20"/>
              </w:rPr>
            </w:pPr>
            <w:r w:rsidRPr="003B3EC6">
              <w:rPr>
                <w:rFonts w:ascii="Arial" w:hAnsi="Arial" w:cs="Arial"/>
                <w:b/>
                <w:snapToGrid w:val="0"/>
                <w:color w:val="000000"/>
                <w:sz w:val="20"/>
                <w:szCs w:val="20"/>
              </w:rPr>
              <w:t xml:space="preserve">Сообщение о существенном факте </w:t>
            </w:r>
            <w:r w:rsidRPr="003B3EC6">
              <w:rPr>
                <w:rFonts w:ascii="Arial" w:hAnsi="Arial" w:cs="Arial"/>
                <w:b/>
                <w:snapToGrid w:val="0"/>
                <w:color w:val="000000"/>
                <w:sz w:val="20"/>
                <w:szCs w:val="20"/>
              </w:rPr>
              <w:br/>
              <w:t>«Об этапах процедуры эмиссии ценных бумаг эмитента»</w:t>
            </w:r>
          </w:p>
          <w:p w:rsidR="00AA025E" w:rsidRPr="003B3EC6" w:rsidRDefault="00AA025E" w:rsidP="00AA025E">
            <w:pPr>
              <w:jc w:val="center"/>
              <w:rPr>
                <w:rFonts w:ascii="Arial" w:hAnsi="Arial" w:cs="Arial"/>
                <w:b/>
                <w:snapToGrid w:val="0"/>
                <w:color w:val="000000"/>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5216"/>
            </w:tblGrid>
            <w:tr w:rsidR="00AA025E" w:rsidRPr="003B3EC6" w:rsidTr="004E5FCE">
              <w:tc>
                <w:tcPr>
                  <w:tcW w:w="9747" w:type="dxa"/>
                  <w:gridSpan w:val="2"/>
                </w:tcPr>
                <w:p w:rsidR="00AA025E" w:rsidRPr="003B3EC6" w:rsidRDefault="00AA025E" w:rsidP="004E5FCE">
                  <w:pPr>
                    <w:jc w:val="center"/>
                    <w:rPr>
                      <w:rFonts w:ascii="Arial" w:hAnsi="Arial" w:cs="Arial"/>
                      <w:snapToGrid w:val="0"/>
                      <w:color w:val="000000"/>
                      <w:sz w:val="20"/>
                      <w:szCs w:val="20"/>
                    </w:rPr>
                  </w:pPr>
                  <w:r w:rsidRPr="003B3EC6">
                    <w:rPr>
                      <w:rFonts w:ascii="Arial" w:hAnsi="Arial" w:cs="Arial"/>
                      <w:snapToGrid w:val="0"/>
                      <w:color w:val="000000"/>
                      <w:sz w:val="20"/>
                      <w:szCs w:val="20"/>
                    </w:rPr>
                    <w:t>1. Общие сведения</w:t>
                  </w:r>
                </w:p>
              </w:tc>
            </w:tr>
            <w:tr w:rsidR="00102505" w:rsidRPr="003B3EC6" w:rsidTr="00102505">
              <w:tc>
                <w:tcPr>
                  <w:tcW w:w="4531" w:type="dxa"/>
                  <w:vAlign w:val="center"/>
                </w:tcPr>
                <w:p w:rsidR="00102505" w:rsidRPr="003B3EC6" w:rsidRDefault="00102505" w:rsidP="004E5FCE">
                  <w:pPr>
                    <w:ind w:left="57" w:right="57"/>
                    <w:rPr>
                      <w:rFonts w:ascii="Arial" w:hAnsi="Arial" w:cs="Arial"/>
                      <w:sz w:val="20"/>
                      <w:szCs w:val="20"/>
                    </w:rPr>
                  </w:pPr>
                  <w:r w:rsidRPr="003B3EC6">
                    <w:rPr>
                      <w:rFonts w:ascii="Arial" w:hAnsi="Arial" w:cs="Arial"/>
                      <w:snapToGrid w:val="0"/>
                      <w:color w:val="000000"/>
                      <w:sz w:val="20"/>
                      <w:szCs w:val="20"/>
                    </w:rPr>
                    <w:t>1.1. Полное фирменное наименование эмитента (для некоммерческой организации — наименование)</w:t>
                  </w:r>
                </w:p>
              </w:tc>
              <w:tc>
                <w:tcPr>
                  <w:tcW w:w="5216" w:type="dxa"/>
                </w:tcPr>
                <w:p w:rsidR="00102505" w:rsidRPr="008B4D2D" w:rsidRDefault="00102505" w:rsidP="001F19CB">
                  <w:pPr>
                    <w:ind w:left="57"/>
                    <w:jc w:val="center"/>
                    <w:rPr>
                      <w:rFonts w:ascii="Arial" w:hAnsi="Arial" w:cs="Arial"/>
                      <w:b/>
                      <w:bCs/>
                      <w:i/>
                      <w:iCs/>
                      <w:sz w:val="20"/>
                      <w:szCs w:val="20"/>
                    </w:rPr>
                  </w:pPr>
                  <w:r w:rsidRPr="008B4D2D">
                    <w:rPr>
                      <w:rFonts w:ascii="Arial" w:hAnsi="Arial" w:cs="Arial"/>
                      <w:b/>
                      <w:bCs/>
                      <w:i/>
                      <w:iCs/>
                      <w:sz w:val="20"/>
                      <w:szCs w:val="20"/>
                    </w:rPr>
                    <w:t xml:space="preserve">Акционерное общество </w:t>
                  </w:r>
                </w:p>
                <w:p w:rsidR="00102505" w:rsidRPr="008B4D2D" w:rsidRDefault="00102505" w:rsidP="001F19CB">
                  <w:pPr>
                    <w:ind w:left="57"/>
                    <w:jc w:val="center"/>
                    <w:rPr>
                      <w:rFonts w:ascii="Arial" w:hAnsi="Arial" w:cs="Arial"/>
                      <w:b/>
                      <w:bCs/>
                      <w:i/>
                      <w:iCs/>
                      <w:sz w:val="20"/>
                      <w:szCs w:val="20"/>
                    </w:rPr>
                  </w:pPr>
                  <w:r w:rsidRPr="008B4D2D">
                    <w:rPr>
                      <w:rFonts w:ascii="Arial" w:hAnsi="Arial" w:cs="Arial"/>
                      <w:b/>
                      <w:bCs/>
                      <w:i/>
                      <w:iCs/>
                      <w:sz w:val="20"/>
                      <w:szCs w:val="20"/>
                    </w:rPr>
                    <w:t>«Коммерческий банк ДельтаКредит»</w:t>
                  </w:r>
                </w:p>
              </w:tc>
            </w:tr>
            <w:tr w:rsidR="00102505" w:rsidRPr="003B3EC6" w:rsidTr="00102505">
              <w:tc>
                <w:tcPr>
                  <w:tcW w:w="4531" w:type="dxa"/>
                  <w:vAlign w:val="center"/>
                </w:tcPr>
                <w:p w:rsidR="00102505" w:rsidRPr="003B3EC6" w:rsidRDefault="00102505" w:rsidP="004E5FCE">
                  <w:pPr>
                    <w:ind w:left="57" w:right="57"/>
                    <w:rPr>
                      <w:rFonts w:ascii="Arial" w:hAnsi="Arial" w:cs="Arial"/>
                      <w:sz w:val="20"/>
                      <w:szCs w:val="20"/>
                    </w:rPr>
                  </w:pPr>
                  <w:r w:rsidRPr="003B3EC6">
                    <w:rPr>
                      <w:rFonts w:ascii="Arial" w:hAnsi="Arial" w:cs="Arial"/>
                      <w:snapToGrid w:val="0"/>
                      <w:color w:val="000000"/>
                      <w:sz w:val="20"/>
                      <w:szCs w:val="20"/>
                    </w:rPr>
                    <w:t>1.2. Сокращенное фирменное наименование эмитента</w:t>
                  </w:r>
                </w:p>
              </w:tc>
              <w:tc>
                <w:tcPr>
                  <w:tcW w:w="5216" w:type="dxa"/>
                </w:tcPr>
                <w:p w:rsidR="00102505" w:rsidRPr="008B4D2D" w:rsidRDefault="00102505" w:rsidP="001F19CB">
                  <w:pPr>
                    <w:ind w:left="57"/>
                    <w:jc w:val="center"/>
                    <w:rPr>
                      <w:rFonts w:ascii="Arial" w:hAnsi="Arial" w:cs="Arial"/>
                      <w:b/>
                      <w:bCs/>
                      <w:i/>
                      <w:iCs/>
                      <w:sz w:val="20"/>
                      <w:szCs w:val="20"/>
                    </w:rPr>
                  </w:pPr>
                  <w:r w:rsidRPr="008B4D2D">
                    <w:rPr>
                      <w:rFonts w:ascii="Arial" w:hAnsi="Arial" w:cs="Arial"/>
                      <w:b/>
                      <w:bCs/>
                      <w:i/>
                      <w:iCs/>
                      <w:sz w:val="20"/>
                      <w:szCs w:val="20"/>
                    </w:rPr>
                    <w:t>АО «КБ ДельтаКредит»</w:t>
                  </w:r>
                </w:p>
              </w:tc>
            </w:tr>
            <w:tr w:rsidR="00102505" w:rsidRPr="003B3EC6" w:rsidTr="00102505">
              <w:tc>
                <w:tcPr>
                  <w:tcW w:w="4531" w:type="dxa"/>
                  <w:vAlign w:val="center"/>
                </w:tcPr>
                <w:p w:rsidR="00102505" w:rsidRPr="003B3EC6" w:rsidRDefault="00102505" w:rsidP="004E5FCE">
                  <w:pPr>
                    <w:ind w:left="57" w:right="57"/>
                    <w:rPr>
                      <w:rFonts w:ascii="Arial" w:hAnsi="Arial" w:cs="Arial"/>
                      <w:sz w:val="20"/>
                      <w:szCs w:val="20"/>
                    </w:rPr>
                  </w:pPr>
                  <w:r w:rsidRPr="003B3EC6">
                    <w:rPr>
                      <w:rFonts w:ascii="Arial" w:hAnsi="Arial" w:cs="Arial"/>
                      <w:snapToGrid w:val="0"/>
                      <w:color w:val="000000"/>
                      <w:sz w:val="20"/>
                      <w:szCs w:val="20"/>
                    </w:rPr>
                    <w:t>1.3. Место нахождения эмитента</w:t>
                  </w:r>
                </w:p>
              </w:tc>
              <w:tc>
                <w:tcPr>
                  <w:tcW w:w="5216" w:type="dxa"/>
                </w:tcPr>
                <w:p w:rsidR="00102505" w:rsidRPr="008B4D2D" w:rsidRDefault="00102505" w:rsidP="001F19CB">
                  <w:pPr>
                    <w:ind w:left="57"/>
                    <w:jc w:val="center"/>
                    <w:rPr>
                      <w:rFonts w:ascii="Arial" w:hAnsi="Arial" w:cs="Arial"/>
                      <w:b/>
                      <w:bCs/>
                      <w:i/>
                      <w:iCs/>
                      <w:sz w:val="20"/>
                      <w:szCs w:val="20"/>
                    </w:rPr>
                  </w:pPr>
                  <w:r w:rsidRPr="008B4D2D">
                    <w:rPr>
                      <w:rFonts w:ascii="Arial" w:hAnsi="Arial" w:cs="Arial"/>
                      <w:b/>
                      <w:bCs/>
                      <w:i/>
                      <w:iCs/>
                      <w:sz w:val="20"/>
                      <w:szCs w:val="20"/>
                    </w:rPr>
                    <w:t>125009, г. Москва, ул. Воздвиженка, д.4/7, стр.2</w:t>
                  </w:r>
                </w:p>
              </w:tc>
            </w:tr>
            <w:tr w:rsidR="00102505" w:rsidRPr="003B3EC6" w:rsidTr="00102505">
              <w:tc>
                <w:tcPr>
                  <w:tcW w:w="4531" w:type="dxa"/>
                  <w:vAlign w:val="center"/>
                </w:tcPr>
                <w:p w:rsidR="00102505" w:rsidRPr="003B3EC6" w:rsidRDefault="00102505" w:rsidP="004E5FCE">
                  <w:pPr>
                    <w:ind w:left="57" w:right="57"/>
                    <w:rPr>
                      <w:rFonts w:ascii="Arial" w:hAnsi="Arial" w:cs="Arial"/>
                      <w:sz w:val="20"/>
                      <w:szCs w:val="20"/>
                    </w:rPr>
                  </w:pPr>
                  <w:r w:rsidRPr="003B3EC6">
                    <w:rPr>
                      <w:rFonts w:ascii="Arial" w:hAnsi="Arial" w:cs="Arial"/>
                      <w:snapToGrid w:val="0"/>
                      <w:color w:val="000000"/>
                      <w:sz w:val="20"/>
                      <w:szCs w:val="20"/>
                    </w:rPr>
                    <w:t>1.4. ОГРН эмитента</w:t>
                  </w:r>
                </w:p>
              </w:tc>
              <w:tc>
                <w:tcPr>
                  <w:tcW w:w="5216" w:type="dxa"/>
                </w:tcPr>
                <w:p w:rsidR="00102505" w:rsidRPr="008B4D2D" w:rsidRDefault="00102505" w:rsidP="001F19CB">
                  <w:pPr>
                    <w:ind w:left="57"/>
                    <w:jc w:val="center"/>
                    <w:rPr>
                      <w:rFonts w:ascii="Arial" w:hAnsi="Arial" w:cs="Arial"/>
                      <w:b/>
                      <w:bCs/>
                      <w:i/>
                      <w:iCs/>
                      <w:sz w:val="20"/>
                      <w:szCs w:val="20"/>
                    </w:rPr>
                  </w:pPr>
                  <w:r w:rsidRPr="008B4D2D">
                    <w:rPr>
                      <w:rFonts w:ascii="Arial" w:hAnsi="Arial" w:cs="Arial"/>
                      <w:b/>
                      <w:bCs/>
                      <w:i/>
                      <w:iCs/>
                      <w:sz w:val="20"/>
                      <w:szCs w:val="20"/>
                    </w:rPr>
                    <w:t>1027739051988</w:t>
                  </w:r>
                </w:p>
              </w:tc>
            </w:tr>
            <w:tr w:rsidR="00102505" w:rsidRPr="003B3EC6" w:rsidTr="00102505">
              <w:tc>
                <w:tcPr>
                  <w:tcW w:w="4531" w:type="dxa"/>
                  <w:vAlign w:val="center"/>
                </w:tcPr>
                <w:p w:rsidR="00102505" w:rsidRPr="003B3EC6" w:rsidRDefault="00102505" w:rsidP="004E5FCE">
                  <w:pPr>
                    <w:ind w:left="57" w:right="57"/>
                    <w:rPr>
                      <w:rFonts w:ascii="Arial" w:hAnsi="Arial" w:cs="Arial"/>
                      <w:sz w:val="20"/>
                      <w:szCs w:val="20"/>
                    </w:rPr>
                  </w:pPr>
                  <w:r w:rsidRPr="003B3EC6">
                    <w:rPr>
                      <w:rFonts w:ascii="Arial" w:hAnsi="Arial" w:cs="Arial"/>
                      <w:sz w:val="20"/>
                      <w:szCs w:val="20"/>
                    </w:rPr>
                    <w:t>1.5. ИНН эмитента</w:t>
                  </w:r>
                </w:p>
              </w:tc>
              <w:tc>
                <w:tcPr>
                  <w:tcW w:w="5216" w:type="dxa"/>
                </w:tcPr>
                <w:p w:rsidR="00102505" w:rsidRPr="008B4D2D" w:rsidRDefault="00102505" w:rsidP="001F19CB">
                  <w:pPr>
                    <w:ind w:left="57"/>
                    <w:jc w:val="center"/>
                    <w:rPr>
                      <w:rFonts w:ascii="Arial" w:hAnsi="Arial" w:cs="Arial"/>
                      <w:b/>
                      <w:bCs/>
                      <w:i/>
                      <w:iCs/>
                      <w:sz w:val="20"/>
                      <w:szCs w:val="20"/>
                    </w:rPr>
                  </w:pPr>
                  <w:r w:rsidRPr="008B4D2D">
                    <w:rPr>
                      <w:rFonts w:ascii="Arial" w:hAnsi="Arial" w:cs="Arial"/>
                      <w:b/>
                      <w:bCs/>
                      <w:i/>
                      <w:iCs/>
                      <w:sz w:val="20"/>
                      <w:szCs w:val="20"/>
                    </w:rPr>
                    <w:t>7705285534</w:t>
                  </w:r>
                </w:p>
              </w:tc>
            </w:tr>
            <w:tr w:rsidR="00102505" w:rsidRPr="003B3EC6" w:rsidTr="00102505">
              <w:tc>
                <w:tcPr>
                  <w:tcW w:w="4531" w:type="dxa"/>
                  <w:vAlign w:val="center"/>
                </w:tcPr>
                <w:p w:rsidR="00102505" w:rsidRPr="003B3EC6" w:rsidRDefault="00102505" w:rsidP="004E5FCE">
                  <w:pPr>
                    <w:ind w:left="57" w:right="57"/>
                    <w:rPr>
                      <w:rFonts w:ascii="Arial" w:hAnsi="Arial" w:cs="Arial"/>
                      <w:sz w:val="20"/>
                      <w:szCs w:val="20"/>
                    </w:rPr>
                  </w:pPr>
                  <w:r w:rsidRPr="003B3EC6">
                    <w:rPr>
                      <w:rFonts w:ascii="Arial" w:hAnsi="Arial" w:cs="Arial"/>
                      <w:snapToGrid w:val="0"/>
                      <w:color w:val="000000"/>
                      <w:sz w:val="20"/>
                      <w:szCs w:val="20"/>
                    </w:rPr>
                    <w:t>1.6. Уникальный код эмитента, присвоенный регистрирующим органом</w:t>
                  </w:r>
                </w:p>
              </w:tc>
              <w:tc>
                <w:tcPr>
                  <w:tcW w:w="5216" w:type="dxa"/>
                </w:tcPr>
                <w:p w:rsidR="00102505" w:rsidRPr="008B4D2D" w:rsidRDefault="00102505" w:rsidP="001F19CB">
                  <w:pPr>
                    <w:ind w:left="57"/>
                    <w:jc w:val="center"/>
                    <w:rPr>
                      <w:rFonts w:ascii="Arial" w:hAnsi="Arial" w:cs="Arial"/>
                      <w:b/>
                      <w:bCs/>
                      <w:i/>
                      <w:iCs/>
                      <w:sz w:val="20"/>
                      <w:szCs w:val="20"/>
                    </w:rPr>
                  </w:pPr>
                  <w:r w:rsidRPr="008B4D2D">
                    <w:rPr>
                      <w:rFonts w:ascii="Arial" w:hAnsi="Arial" w:cs="Arial"/>
                      <w:b/>
                      <w:bCs/>
                      <w:i/>
                      <w:iCs/>
                      <w:sz w:val="20"/>
                      <w:szCs w:val="20"/>
                    </w:rPr>
                    <w:t>03338В</w:t>
                  </w:r>
                </w:p>
              </w:tc>
            </w:tr>
            <w:tr w:rsidR="00102505" w:rsidRPr="003B3EC6" w:rsidTr="00102505">
              <w:tc>
                <w:tcPr>
                  <w:tcW w:w="4531" w:type="dxa"/>
                  <w:vAlign w:val="center"/>
                </w:tcPr>
                <w:p w:rsidR="00102505" w:rsidRPr="003B3EC6" w:rsidRDefault="00102505" w:rsidP="004E5FCE">
                  <w:pPr>
                    <w:ind w:left="57" w:right="57"/>
                    <w:rPr>
                      <w:rFonts w:ascii="Arial" w:hAnsi="Arial" w:cs="Arial"/>
                      <w:sz w:val="20"/>
                      <w:szCs w:val="20"/>
                    </w:rPr>
                  </w:pPr>
                  <w:r w:rsidRPr="003B3EC6">
                    <w:rPr>
                      <w:rFonts w:ascii="Arial" w:hAnsi="Arial" w:cs="Arial"/>
                      <w:snapToGrid w:val="0"/>
                      <w:color w:val="000000"/>
                      <w:sz w:val="20"/>
                      <w:szCs w:val="20"/>
                    </w:rPr>
                    <w:t>1.7. Адрес страницы в сети Интернет, используемой эмитентом для раскрытия информации</w:t>
                  </w:r>
                </w:p>
              </w:tc>
              <w:tc>
                <w:tcPr>
                  <w:tcW w:w="5216" w:type="dxa"/>
                </w:tcPr>
                <w:p w:rsidR="00102505" w:rsidRPr="008B4D2D" w:rsidRDefault="00E8171D" w:rsidP="001F19CB">
                  <w:pPr>
                    <w:widowControl w:val="0"/>
                    <w:overflowPunct w:val="0"/>
                    <w:adjustRightInd w:val="0"/>
                    <w:ind w:left="57"/>
                    <w:jc w:val="center"/>
                    <w:textAlignment w:val="baseline"/>
                    <w:rPr>
                      <w:rFonts w:ascii="Arial" w:hAnsi="Arial" w:cs="Arial"/>
                      <w:b/>
                      <w:bCs/>
                      <w:i/>
                      <w:iCs/>
                      <w:sz w:val="20"/>
                      <w:szCs w:val="20"/>
                    </w:rPr>
                  </w:pPr>
                  <w:hyperlink r:id="rId11" w:history="1">
                    <w:r w:rsidR="00102505" w:rsidRPr="008B4D2D">
                      <w:rPr>
                        <w:rFonts w:ascii="Arial" w:hAnsi="Arial" w:cs="Arial"/>
                        <w:b/>
                        <w:bCs/>
                        <w:i/>
                        <w:iCs/>
                        <w:sz w:val="20"/>
                        <w:szCs w:val="20"/>
                      </w:rPr>
                      <w:t>www.e-disclosure.ru/portal/company.aspx?id=8251</w:t>
                    </w:r>
                  </w:hyperlink>
                  <w:r w:rsidR="00102505" w:rsidRPr="008B4D2D">
                    <w:rPr>
                      <w:rFonts w:ascii="Arial" w:hAnsi="Arial" w:cs="Arial"/>
                      <w:b/>
                      <w:bCs/>
                      <w:i/>
                      <w:iCs/>
                      <w:sz w:val="20"/>
                      <w:szCs w:val="20"/>
                    </w:rPr>
                    <w:t>; www.deltacredit.ru</w:t>
                  </w:r>
                </w:p>
              </w:tc>
            </w:tr>
          </w:tbl>
          <w:p w:rsidR="00AA025E" w:rsidRPr="003B3EC6" w:rsidRDefault="00AA025E" w:rsidP="00AA025E">
            <w:pPr>
              <w:jc w:val="center"/>
              <w:rPr>
                <w:rFonts w:ascii="Arial" w:hAnsi="Arial" w:cs="Arial"/>
                <w:b/>
                <w:bCs/>
                <w:sz w:val="20"/>
                <w:szCs w:val="20"/>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781"/>
            </w:tblGrid>
            <w:tr w:rsidR="000A37C5" w:rsidRPr="0061761F" w:rsidTr="00B16ADC">
              <w:trPr>
                <w:jc w:val="center"/>
              </w:trPr>
              <w:tc>
                <w:tcPr>
                  <w:tcW w:w="9854" w:type="dxa"/>
                  <w:tcBorders>
                    <w:top w:val="single" w:sz="4" w:space="0" w:color="auto"/>
                    <w:left w:val="single" w:sz="4" w:space="0" w:color="auto"/>
                    <w:bottom w:val="single" w:sz="4" w:space="0" w:color="auto"/>
                    <w:right w:val="single" w:sz="4" w:space="0" w:color="auto"/>
                  </w:tcBorders>
                </w:tcPr>
                <w:p w:rsidR="000A37C5" w:rsidRPr="0061761F" w:rsidRDefault="000A37C5" w:rsidP="00B16ADC">
                  <w:pPr>
                    <w:pStyle w:val="a3"/>
                    <w:tabs>
                      <w:tab w:val="clear" w:pos="4677"/>
                      <w:tab w:val="clear" w:pos="9355"/>
                    </w:tabs>
                    <w:jc w:val="center"/>
                    <w:rPr>
                      <w:rFonts w:ascii="Arial" w:hAnsi="Arial" w:cs="Arial"/>
                      <w:sz w:val="20"/>
                      <w:szCs w:val="20"/>
                      <w:lang w:val="en-US"/>
                    </w:rPr>
                  </w:pPr>
                  <w:r w:rsidRPr="0061761F">
                    <w:rPr>
                      <w:rFonts w:ascii="Arial" w:hAnsi="Arial" w:cs="Arial"/>
                      <w:sz w:val="20"/>
                      <w:szCs w:val="20"/>
                    </w:rPr>
                    <w:t>2. Содержание сообщения</w:t>
                  </w:r>
                </w:p>
              </w:tc>
            </w:tr>
            <w:tr w:rsidR="000A37C5" w:rsidRPr="0061761F" w:rsidTr="00B16ADC">
              <w:trPr>
                <w:jc w:val="center"/>
              </w:trPr>
              <w:tc>
                <w:tcPr>
                  <w:tcW w:w="9854" w:type="dxa"/>
                  <w:tcBorders>
                    <w:top w:val="single" w:sz="4" w:space="0" w:color="auto"/>
                    <w:left w:val="single" w:sz="4" w:space="0" w:color="auto"/>
                    <w:bottom w:val="single" w:sz="4" w:space="0" w:color="auto"/>
                    <w:right w:val="single" w:sz="4" w:space="0" w:color="auto"/>
                  </w:tcBorders>
                </w:tcPr>
                <w:p w:rsidR="000A37C5" w:rsidRPr="0061761F" w:rsidRDefault="000A37C5" w:rsidP="00B16ADC">
                  <w:pPr>
                    <w:pStyle w:val="a3"/>
                    <w:tabs>
                      <w:tab w:val="clear" w:pos="4677"/>
                      <w:tab w:val="clear" w:pos="9355"/>
                    </w:tabs>
                    <w:jc w:val="center"/>
                    <w:rPr>
                      <w:rFonts w:ascii="Arial" w:hAnsi="Arial" w:cs="Arial"/>
                      <w:b/>
                      <w:sz w:val="20"/>
                      <w:szCs w:val="20"/>
                    </w:rPr>
                  </w:pPr>
                  <w:r w:rsidRPr="0061761F">
                    <w:rPr>
                      <w:rFonts w:ascii="Arial" w:hAnsi="Arial" w:cs="Arial"/>
                      <w:b/>
                      <w:sz w:val="20"/>
                      <w:szCs w:val="20"/>
                    </w:rPr>
                    <w:t xml:space="preserve">«Об утверждении решения о выпуске (дополнительном выпуске) ценных бумаг» </w:t>
                  </w:r>
                  <w:r w:rsidRPr="0061761F">
                    <w:rPr>
                      <w:rFonts w:ascii="Arial" w:hAnsi="Arial" w:cs="Arial"/>
                      <w:b/>
                      <w:bCs/>
                      <w:snapToGrid w:val="0"/>
                      <w:color w:val="000000"/>
                      <w:sz w:val="20"/>
                      <w:szCs w:val="20"/>
                    </w:rPr>
                    <w:t xml:space="preserve"> </w:t>
                  </w:r>
                </w:p>
              </w:tc>
            </w:tr>
            <w:tr w:rsidR="000A37C5" w:rsidRPr="0061761F" w:rsidTr="00B16ADC">
              <w:trPr>
                <w:jc w:val="center"/>
              </w:trPr>
              <w:tc>
                <w:tcPr>
                  <w:tcW w:w="9854" w:type="dxa"/>
                  <w:tcBorders>
                    <w:left w:val="single" w:sz="4" w:space="0" w:color="auto"/>
                    <w:right w:val="single" w:sz="4" w:space="0" w:color="auto"/>
                  </w:tcBorders>
                  <w:vAlign w:val="bottom"/>
                </w:tcPr>
                <w:p w:rsidR="000A37C5" w:rsidRPr="0061761F" w:rsidRDefault="000A37C5" w:rsidP="00B16ADC">
                  <w:pPr>
                    <w:adjustRightInd w:val="0"/>
                    <w:jc w:val="both"/>
                    <w:rPr>
                      <w:rFonts w:ascii="Arial" w:hAnsi="Arial" w:cs="Arial"/>
                      <w:b/>
                      <w:sz w:val="20"/>
                      <w:szCs w:val="20"/>
                    </w:rPr>
                  </w:pPr>
                  <w:r w:rsidRPr="0061761F">
                    <w:rPr>
                      <w:rFonts w:ascii="Arial" w:hAnsi="Arial" w:cs="Arial"/>
                      <w:snapToGrid w:val="0"/>
                      <w:color w:val="000000"/>
                      <w:sz w:val="20"/>
                      <w:szCs w:val="20"/>
                    </w:rPr>
                    <w:t xml:space="preserve">2.1. </w:t>
                  </w:r>
                  <w:proofErr w:type="gramStart"/>
                  <w:r w:rsidRPr="0061761F">
                    <w:rPr>
                      <w:rFonts w:ascii="Arial" w:hAnsi="Arial" w:cs="Arial"/>
                      <w:snapToGrid w:val="0"/>
                      <w:color w:val="000000"/>
                      <w:sz w:val="20"/>
                      <w:szCs w:val="20"/>
                    </w:rPr>
                    <w:t>Орган управления эмитента, утвердивший решение о выпуске (дополнительном выпуске) ценных бумаг, и способ принятия решения (указывается вид общего собрания - годовое или внеочередное) в случае, если органом управления эмитента, принявшим решение об утверждении решения о выпуске (дополнительном выпуске) ценных бумаг, является общее собрание участников (акционеров) эмитента, а также форма голосования (совместное присутствие или заочное голосование):</w:t>
                  </w:r>
                  <w:proofErr w:type="gramEnd"/>
                  <w:r w:rsidRPr="0061761F">
                    <w:rPr>
                      <w:rFonts w:ascii="Arial" w:hAnsi="Arial" w:cs="Arial"/>
                      <w:snapToGrid w:val="0"/>
                      <w:color w:val="000000"/>
                      <w:sz w:val="20"/>
                      <w:szCs w:val="20"/>
                    </w:rPr>
                    <w:t xml:space="preserve">  </w:t>
                  </w:r>
                  <w:r w:rsidRPr="0061761F">
                    <w:rPr>
                      <w:rFonts w:ascii="Arial" w:hAnsi="Arial" w:cs="Arial"/>
                      <w:b/>
                      <w:sz w:val="20"/>
                      <w:szCs w:val="20"/>
                    </w:rPr>
                    <w:t>Решение об утверждении Решения о выпуске ценных бумаг принято Советом Директоров Акционерного общества «Коммерческий банк ДельтаКредит» в форме заочного голосования.</w:t>
                  </w:r>
                </w:p>
              </w:tc>
            </w:tr>
            <w:tr w:rsidR="000A37C5" w:rsidRPr="0061761F" w:rsidTr="00B16ADC">
              <w:trPr>
                <w:jc w:val="center"/>
              </w:trPr>
              <w:tc>
                <w:tcPr>
                  <w:tcW w:w="9854" w:type="dxa"/>
                  <w:tcBorders>
                    <w:left w:val="single" w:sz="4" w:space="0" w:color="auto"/>
                    <w:right w:val="single" w:sz="4" w:space="0" w:color="auto"/>
                  </w:tcBorders>
                  <w:vAlign w:val="bottom"/>
                </w:tcPr>
                <w:p w:rsidR="000A37C5" w:rsidRPr="0061761F" w:rsidRDefault="000A37C5" w:rsidP="00B16ADC">
                  <w:pPr>
                    <w:adjustRightInd w:val="0"/>
                    <w:jc w:val="both"/>
                    <w:rPr>
                      <w:rFonts w:ascii="Arial" w:hAnsi="Arial" w:cs="Arial"/>
                      <w:b/>
                      <w:bCs/>
                      <w:sz w:val="20"/>
                      <w:szCs w:val="20"/>
                    </w:rPr>
                  </w:pPr>
                  <w:r w:rsidRPr="0061761F">
                    <w:rPr>
                      <w:rFonts w:ascii="Arial" w:hAnsi="Arial" w:cs="Arial"/>
                      <w:snapToGrid w:val="0"/>
                      <w:color w:val="000000"/>
                      <w:sz w:val="20"/>
                      <w:szCs w:val="20"/>
                    </w:rPr>
                    <w:t>2.2. Дата и место проведения собрания (заседания) уполномоченного органа управления эмитента, на котором принято решение об утверждении решения о выпуске (дополнительном выпуске) ценных бумаг:</w:t>
                  </w:r>
                  <w:r w:rsidRPr="0061761F">
                    <w:rPr>
                      <w:rFonts w:ascii="Arial" w:hAnsi="Arial" w:cs="Arial"/>
                      <w:sz w:val="20"/>
                      <w:szCs w:val="20"/>
                    </w:rPr>
                    <w:t xml:space="preserve"> </w:t>
                  </w:r>
                  <w:r w:rsidRPr="0061761F">
                    <w:rPr>
                      <w:rFonts w:ascii="Arial" w:hAnsi="Arial" w:cs="Arial"/>
                      <w:b/>
                      <w:bCs/>
                      <w:sz w:val="20"/>
                      <w:szCs w:val="20"/>
                    </w:rPr>
                    <w:t xml:space="preserve"> «30» сентября 2016 года, место проведения заседания не указывается, так как заседание проводилось заочно.</w:t>
                  </w:r>
                </w:p>
              </w:tc>
            </w:tr>
            <w:tr w:rsidR="000A37C5" w:rsidRPr="0061761F" w:rsidTr="00B16ADC">
              <w:trPr>
                <w:jc w:val="center"/>
              </w:trPr>
              <w:tc>
                <w:tcPr>
                  <w:tcW w:w="9854" w:type="dxa"/>
                  <w:tcBorders>
                    <w:left w:val="single" w:sz="4" w:space="0" w:color="auto"/>
                    <w:right w:val="single" w:sz="4" w:space="0" w:color="auto"/>
                  </w:tcBorders>
                  <w:vAlign w:val="bottom"/>
                </w:tcPr>
                <w:p w:rsidR="000A37C5" w:rsidRPr="0061761F" w:rsidRDefault="000A37C5" w:rsidP="00B16ADC">
                  <w:pPr>
                    <w:adjustRightInd w:val="0"/>
                    <w:jc w:val="both"/>
                    <w:rPr>
                      <w:rFonts w:ascii="Arial" w:hAnsi="Arial" w:cs="Arial"/>
                      <w:b/>
                      <w:bCs/>
                      <w:sz w:val="20"/>
                      <w:szCs w:val="20"/>
                    </w:rPr>
                  </w:pPr>
                  <w:r w:rsidRPr="0061761F">
                    <w:rPr>
                      <w:rFonts w:ascii="Arial" w:hAnsi="Arial" w:cs="Arial"/>
                      <w:snapToGrid w:val="0"/>
                      <w:color w:val="000000"/>
                      <w:sz w:val="20"/>
                      <w:szCs w:val="20"/>
                    </w:rPr>
                    <w:t xml:space="preserve">2.3. Дата составления и номер протокола собрания (заседания) уполномоченного органа управления эмитента, на котором принято решение об утверждении решения о выпуске (дополнительном выпуске) ценных бумаг:  </w:t>
                  </w:r>
                  <w:r w:rsidRPr="0061761F">
                    <w:rPr>
                      <w:rFonts w:ascii="Arial" w:hAnsi="Arial" w:cs="Arial"/>
                      <w:b/>
                      <w:bCs/>
                      <w:sz w:val="20"/>
                      <w:szCs w:val="20"/>
                    </w:rPr>
                    <w:t>Протокол заседания Совета директоров № 10/2016 от «30» сентября 2016 года</w:t>
                  </w:r>
                </w:p>
              </w:tc>
            </w:tr>
            <w:tr w:rsidR="000A37C5" w:rsidRPr="0061761F" w:rsidTr="00B16ADC">
              <w:trPr>
                <w:jc w:val="center"/>
              </w:trPr>
              <w:tc>
                <w:tcPr>
                  <w:tcW w:w="9854" w:type="dxa"/>
                  <w:tcBorders>
                    <w:left w:val="single" w:sz="4" w:space="0" w:color="auto"/>
                    <w:right w:val="single" w:sz="4" w:space="0" w:color="auto"/>
                  </w:tcBorders>
                  <w:vAlign w:val="bottom"/>
                </w:tcPr>
                <w:p w:rsidR="000A37C5" w:rsidRPr="0061761F" w:rsidRDefault="000A37C5" w:rsidP="00B16ADC">
                  <w:pPr>
                    <w:adjustRightInd w:val="0"/>
                    <w:jc w:val="both"/>
                    <w:rPr>
                      <w:rFonts w:ascii="Arial" w:hAnsi="Arial" w:cs="Arial"/>
                      <w:sz w:val="20"/>
                      <w:szCs w:val="20"/>
                    </w:rPr>
                  </w:pPr>
                  <w:r w:rsidRPr="0061761F">
                    <w:rPr>
                      <w:rFonts w:ascii="Arial" w:hAnsi="Arial" w:cs="Arial"/>
                      <w:snapToGrid w:val="0"/>
                      <w:color w:val="000000"/>
                      <w:sz w:val="20"/>
                      <w:szCs w:val="20"/>
                    </w:rPr>
                    <w:t xml:space="preserve">2.4. Кворум и результаты голосования по вопросу об утверждении решения о выпуске </w:t>
                  </w:r>
                  <w:r w:rsidRPr="0061761F">
                    <w:rPr>
                      <w:rFonts w:ascii="Arial" w:hAnsi="Arial" w:cs="Arial"/>
                      <w:snapToGrid w:val="0"/>
                      <w:color w:val="000000"/>
                      <w:sz w:val="20"/>
                      <w:szCs w:val="20"/>
                    </w:rPr>
                    <w:lastRenderedPageBreak/>
                    <w:t xml:space="preserve">(дополнительном выпуске) ценных бумаг: </w:t>
                  </w:r>
                </w:p>
                <w:p w:rsidR="000A37C5" w:rsidRPr="0061761F" w:rsidRDefault="000A37C5" w:rsidP="00B16ADC">
                  <w:pPr>
                    <w:ind w:right="85"/>
                    <w:jc w:val="both"/>
                    <w:rPr>
                      <w:rFonts w:ascii="Arial" w:hAnsi="Arial" w:cs="Arial"/>
                      <w:b/>
                      <w:bCs/>
                      <w:sz w:val="20"/>
                      <w:szCs w:val="20"/>
                    </w:rPr>
                  </w:pPr>
                  <w:r w:rsidRPr="0061761F">
                    <w:rPr>
                      <w:rFonts w:ascii="Arial" w:hAnsi="Arial" w:cs="Arial"/>
                      <w:b/>
                      <w:bCs/>
                      <w:sz w:val="20"/>
                      <w:szCs w:val="20"/>
                    </w:rPr>
                    <w:t>Участие в заочном голосовании приняли 6 из 6 членов Совета директоров, кворум имеется.</w:t>
                  </w:r>
                </w:p>
                <w:p w:rsidR="000A37C5" w:rsidRPr="0061761F" w:rsidRDefault="000A37C5" w:rsidP="00B16ADC">
                  <w:pPr>
                    <w:tabs>
                      <w:tab w:val="left" w:pos="1350"/>
                    </w:tabs>
                    <w:jc w:val="both"/>
                    <w:rPr>
                      <w:rFonts w:ascii="Arial" w:hAnsi="Arial" w:cs="Arial"/>
                      <w:b/>
                      <w:bCs/>
                      <w:sz w:val="20"/>
                      <w:szCs w:val="20"/>
                    </w:rPr>
                  </w:pPr>
                  <w:r w:rsidRPr="0061761F">
                    <w:rPr>
                      <w:rFonts w:ascii="Arial" w:hAnsi="Arial" w:cs="Arial"/>
                      <w:b/>
                      <w:bCs/>
                      <w:sz w:val="20"/>
                      <w:szCs w:val="20"/>
                    </w:rPr>
                    <w:t>Результаты голосования: «За» - 6 , «Против» - 0, «Воздержался» - 0.</w:t>
                  </w:r>
                </w:p>
                <w:p w:rsidR="000A37C5" w:rsidRPr="0061761F" w:rsidRDefault="000A37C5" w:rsidP="00B16ADC">
                  <w:pPr>
                    <w:adjustRightInd w:val="0"/>
                    <w:jc w:val="both"/>
                    <w:rPr>
                      <w:rFonts w:ascii="Arial" w:hAnsi="Arial" w:cs="Arial"/>
                      <w:sz w:val="20"/>
                      <w:szCs w:val="20"/>
                    </w:rPr>
                  </w:pPr>
                  <w:r w:rsidRPr="0061761F">
                    <w:rPr>
                      <w:rFonts w:ascii="Arial" w:hAnsi="Arial" w:cs="Arial"/>
                      <w:b/>
                      <w:bCs/>
                      <w:sz w:val="20"/>
                      <w:szCs w:val="20"/>
                    </w:rPr>
                    <w:t>Решение принято единогласно.</w:t>
                  </w:r>
                </w:p>
              </w:tc>
            </w:tr>
            <w:tr w:rsidR="000A37C5" w:rsidRPr="0061761F" w:rsidTr="00B16ADC">
              <w:trPr>
                <w:jc w:val="center"/>
              </w:trPr>
              <w:tc>
                <w:tcPr>
                  <w:tcW w:w="9854" w:type="dxa"/>
                  <w:tcBorders>
                    <w:left w:val="single" w:sz="4" w:space="0" w:color="auto"/>
                    <w:right w:val="single" w:sz="4" w:space="0" w:color="auto"/>
                  </w:tcBorders>
                  <w:vAlign w:val="bottom"/>
                </w:tcPr>
                <w:p w:rsidR="000A37C5" w:rsidRPr="0061761F" w:rsidRDefault="000A37C5" w:rsidP="00B16ADC">
                  <w:pPr>
                    <w:adjustRightInd w:val="0"/>
                    <w:jc w:val="both"/>
                    <w:rPr>
                      <w:rFonts w:ascii="Arial" w:hAnsi="Arial" w:cs="Arial"/>
                      <w:snapToGrid w:val="0"/>
                      <w:color w:val="000000"/>
                      <w:sz w:val="20"/>
                      <w:szCs w:val="20"/>
                    </w:rPr>
                  </w:pPr>
                  <w:r w:rsidRPr="0061761F">
                    <w:rPr>
                      <w:rFonts w:ascii="Arial" w:hAnsi="Arial" w:cs="Arial"/>
                      <w:snapToGrid w:val="0"/>
                      <w:color w:val="000000"/>
                      <w:sz w:val="20"/>
                      <w:szCs w:val="20"/>
                    </w:rPr>
                    <w:lastRenderedPageBreak/>
                    <w:t>2.5.</w:t>
                  </w:r>
                  <w:r w:rsidRPr="0061761F">
                    <w:rPr>
                      <w:rFonts w:ascii="Arial" w:hAnsi="Arial" w:cs="Arial"/>
                      <w:sz w:val="20"/>
                      <w:szCs w:val="20"/>
                    </w:rPr>
                    <w:t xml:space="preserve"> </w:t>
                  </w:r>
                  <w:r w:rsidRPr="0061761F">
                    <w:rPr>
                      <w:rFonts w:ascii="Arial" w:hAnsi="Arial" w:cs="Arial"/>
                      <w:snapToGrid w:val="0"/>
                      <w:color w:val="000000"/>
                      <w:sz w:val="20"/>
                      <w:szCs w:val="20"/>
                    </w:rPr>
                    <w:t>Вид, категория (тип), серия и иные идентификационные признаки размещаемых ценных бумаг:</w:t>
                  </w:r>
                </w:p>
                <w:p w:rsidR="000A37C5" w:rsidRPr="0061761F" w:rsidRDefault="000A37C5" w:rsidP="00B16ADC">
                  <w:pPr>
                    <w:adjustRightInd w:val="0"/>
                    <w:jc w:val="both"/>
                    <w:rPr>
                      <w:rFonts w:ascii="Arial" w:hAnsi="Arial" w:cs="Arial"/>
                      <w:b/>
                      <w:sz w:val="20"/>
                      <w:szCs w:val="20"/>
                    </w:rPr>
                  </w:pPr>
                  <w:proofErr w:type="gramStart"/>
                  <w:r w:rsidRPr="0061761F">
                    <w:rPr>
                      <w:rFonts w:ascii="Arial" w:hAnsi="Arial" w:cs="Arial"/>
                      <w:b/>
                      <w:sz w:val="20"/>
                      <w:szCs w:val="20"/>
                    </w:rPr>
                    <w:t>Жилищные облигации с ипотечным покрытием процентные документарные неконвертируемые серии 18-ИП на предъявителя с обязательным централизованным хранением</w:t>
                  </w:r>
                  <w:r w:rsidRPr="0061761F">
                    <w:rPr>
                      <w:rFonts w:ascii="Arial" w:hAnsi="Arial" w:cs="Arial"/>
                      <w:sz w:val="20"/>
                      <w:szCs w:val="20"/>
                    </w:rPr>
                    <w:t xml:space="preserve"> </w:t>
                  </w:r>
                  <w:r w:rsidRPr="0061761F">
                    <w:rPr>
                      <w:rFonts w:ascii="Arial" w:hAnsi="Arial" w:cs="Arial"/>
                      <w:b/>
                      <w:sz w:val="20"/>
                      <w:szCs w:val="20"/>
                    </w:rPr>
                    <w:t>в количестве 7 000 000 (Семь миллионов) штук номинальной стоимостью 1 000 (Одна тысяча) рублей каждая общей номинальной стоимостью 7 000 000 000 (Семь миллиардов) рублей со сроком погашения в дату, в которую истекает 5 (Пять) лет с даты начала размещения Облигаций, с возможностью</w:t>
                  </w:r>
                  <w:proofErr w:type="gramEnd"/>
                  <w:r w:rsidRPr="0061761F">
                    <w:rPr>
                      <w:rFonts w:ascii="Arial" w:hAnsi="Arial" w:cs="Arial"/>
                      <w:b/>
                      <w:sz w:val="20"/>
                      <w:szCs w:val="20"/>
                    </w:rPr>
                    <w:t xml:space="preserve"> досрочного погашения по требованию владельцев, размещаемые по закрытой подписке, государственный регистрационный номер выпуска не присвоен, международный код (номер) идентификации ценных бумаг (ISIN) не присвоен.</w:t>
                  </w:r>
                </w:p>
              </w:tc>
            </w:tr>
            <w:tr w:rsidR="000A37C5" w:rsidRPr="0061761F" w:rsidTr="00B16ADC">
              <w:trPr>
                <w:trHeight w:val="595"/>
                <w:jc w:val="center"/>
              </w:trPr>
              <w:tc>
                <w:tcPr>
                  <w:tcW w:w="9854" w:type="dxa"/>
                  <w:tcBorders>
                    <w:left w:val="single" w:sz="4" w:space="0" w:color="auto"/>
                    <w:right w:val="single" w:sz="4" w:space="0" w:color="auto"/>
                  </w:tcBorders>
                  <w:vAlign w:val="bottom"/>
                </w:tcPr>
                <w:p w:rsidR="000A37C5" w:rsidRPr="0061761F" w:rsidRDefault="000A37C5" w:rsidP="00B16ADC">
                  <w:pPr>
                    <w:pStyle w:val="BodyText21"/>
                    <w:spacing w:line="240" w:lineRule="auto"/>
                    <w:ind w:right="41" w:firstLine="0"/>
                    <w:rPr>
                      <w:rFonts w:ascii="Arial" w:hAnsi="Arial" w:cs="Arial"/>
                      <w:b/>
                      <w:bCs/>
                      <w:sz w:val="20"/>
                      <w:szCs w:val="20"/>
                    </w:rPr>
                  </w:pPr>
                  <w:r w:rsidRPr="0061761F">
                    <w:rPr>
                      <w:rFonts w:ascii="Arial" w:hAnsi="Arial" w:cs="Arial"/>
                      <w:snapToGrid w:val="0"/>
                      <w:color w:val="000000"/>
                      <w:sz w:val="20"/>
                      <w:szCs w:val="20"/>
                    </w:rPr>
                    <w:t xml:space="preserve">2.6. Условия размещения ценных бумаг, определенные решением об их размещении: </w:t>
                  </w:r>
                </w:p>
                <w:p w:rsidR="000A37C5" w:rsidRPr="001F7915" w:rsidRDefault="000A37C5" w:rsidP="00B16ADC">
                  <w:pPr>
                    <w:autoSpaceDE/>
                    <w:autoSpaceDN/>
                    <w:jc w:val="both"/>
                    <w:rPr>
                      <w:rFonts w:ascii="Arial" w:hAnsi="Arial" w:cs="Arial"/>
                      <w:b/>
                      <w:sz w:val="20"/>
                      <w:szCs w:val="20"/>
                    </w:rPr>
                  </w:pPr>
                  <w:proofErr w:type="gramStart"/>
                  <w:r w:rsidRPr="001F7915">
                    <w:rPr>
                      <w:rFonts w:ascii="Arial" w:hAnsi="Arial" w:cs="Arial"/>
                      <w:b/>
                      <w:sz w:val="20"/>
                      <w:szCs w:val="20"/>
                    </w:rPr>
                    <w:t>Разместить жилищные облигации Банка с ипотечным покрытием процентные документарные неконвертируемые серии 18-ИП на предъявителя, с обязательным централизованным хранением в количестве 7 000 000 (Семь миллионов) штук номинальной стоимостью 1 000 (Одна тысяча) рублей каждая общей номинальной стоимостью 7 000 000 000 (Семь миллиардов) рублей со сроком погашения в дату, в которую истекает 5 (Пять) лет с даты начала размещения Облигаций</w:t>
                  </w:r>
                  <w:proofErr w:type="gramEnd"/>
                  <w:r w:rsidRPr="001F7915">
                    <w:rPr>
                      <w:rFonts w:ascii="Arial" w:hAnsi="Arial" w:cs="Arial"/>
                      <w:b/>
                      <w:sz w:val="20"/>
                      <w:szCs w:val="20"/>
                    </w:rPr>
                    <w:t>, с возможностью досрочного погашения по требованию владельцев, размещаемые по закрытой подписке с учетом следующих характеристик, порядка и условий их размещения:</w:t>
                  </w:r>
                </w:p>
                <w:p w:rsidR="000A37C5" w:rsidRPr="001F7915" w:rsidRDefault="000A37C5" w:rsidP="00B16ADC">
                  <w:pPr>
                    <w:autoSpaceDE/>
                    <w:autoSpaceDN/>
                    <w:jc w:val="both"/>
                    <w:rPr>
                      <w:rFonts w:ascii="Arial" w:hAnsi="Arial" w:cs="Arial"/>
                      <w:b/>
                      <w:sz w:val="20"/>
                      <w:szCs w:val="20"/>
                    </w:rPr>
                  </w:pPr>
                  <w:r w:rsidRPr="001F7915">
                    <w:rPr>
                      <w:rFonts w:ascii="Arial" w:hAnsi="Arial" w:cs="Arial"/>
                      <w:b/>
                      <w:sz w:val="20"/>
                      <w:szCs w:val="20"/>
                    </w:rPr>
                    <w:t>– количество размещаемых облигаций: 7 000 000 (Семь миллионов) штук;</w:t>
                  </w:r>
                </w:p>
                <w:p w:rsidR="000A37C5" w:rsidRPr="001F7915" w:rsidRDefault="000A37C5" w:rsidP="00B16ADC">
                  <w:pPr>
                    <w:autoSpaceDE/>
                    <w:autoSpaceDN/>
                    <w:jc w:val="both"/>
                    <w:rPr>
                      <w:rFonts w:ascii="Arial" w:hAnsi="Arial" w:cs="Arial"/>
                      <w:b/>
                      <w:sz w:val="20"/>
                      <w:szCs w:val="20"/>
                    </w:rPr>
                  </w:pPr>
                  <w:r w:rsidRPr="001F7915">
                    <w:rPr>
                      <w:rFonts w:ascii="Arial" w:hAnsi="Arial" w:cs="Arial"/>
                      <w:b/>
                      <w:sz w:val="20"/>
                      <w:szCs w:val="20"/>
                    </w:rPr>
                    <w:t>– номинальная стоимость каждой облигации: 1 000 (Одна тысяча) рублей;</w:t>
                  </w:r>
                </w:p>
                <w:p w:rsidR="000A37C5" w:rsidRPr="001F7915" w:rsidRDefault="000A37C5" w:rsidP="00B16ADC">
                  <w:pPr>
                    <w:autoSpaceDE/>
                    <w:autoSpaceDN/>
                    <w:jc w:val="both"/>
                    <w:rPr>
                      <w:rFonts w:ascii="Arial" w:hAnsi="Arial" w:cs="Arial"/>
                      <w:b/>
                      <w:sz w:val="20"/>
                      <w:szCs w:val="20"/>
                    </w:rPr>
                  </w:pPr>
                  <w:r w:rsidRPr="001F7915">
                    <w:rPr>
                      <w:rFonts w:ascii="Arial" w:hAnsi="Arial" w:cs="Arial"/>
                      <w:b/>
                      <w:sz w:val="20"/>
                      <w:szCs w:val="20"/>
                    </w:rPr>
                    <w:t>– общий объем выпуска облигаций по номинальной стоимости: 7 000 000 000  (Семь миллиардов) рублей;</w:t>
                  </w:r>
                </w:p>
                <w:p w:rsidR="000A37C5" w:rsidRPr="001F7915" w:rsidRDefault="000A37C5" w:rsidP="00B16ADC">
                  <w:pPr>
                    <w:autoSpaceDE/>
                    <w:autoSpaceDN/>
                    <w:jc w:val="both"/>
                    <w:rPr>
                      <w:rFonts w:ascii="Arial" w:hAnsi="Arial" w:cs="Arial"/>
                      <w:b/>
                      <w:sz w:val="20"/>
                      <w:szCs w:val="20"/>
                    </w:rPr>
                  </w:pPr>
                  <w:r w:rsidRPr="001F7915">
                    <w:rPr>
                      <w:rFonts w:ascii="Arial" w:hAnsi="Arial" w:cs="Arial"/>
                      <w:b/>
                      <w:sz w:val="20"/>
                      <w:szCs w:val="20"/>
                    </w:rPr>
                    <w:t>– форма выпуска облигаций: документарные облигации на предъявителя с обязательным централизованным хранением;</w:t>
                  </w:r>
                </w:p>
                <w:p w:rsidR="000A37C5" w:rsidRPr="001F7915" w:rsidRDefault="000A37C5" w:rsidP="00B16ADC">
                  <w:pPr>
                    <w:autoSpaceDE/>
                    <w:autoSpaceDN/>
                    <w:jc w:val="both"/>
                    <w:rPr>
                      <w:rFonts w:ascii="Arial" w:hAnsi="Arial" w:cs="Arial"/>
                      <w:b/>
                      <w:sz w:val="20"/>
                      <w:szCs w:val="20"/>
                    </w:rPr>
                  </w:pPr>
                  <w:r w:rsidRPr="001F7915">
                    <w:rPr>
                      <w:rFonts w:ascii="Arial" w:hAnsi="Arial" w:cs="Arial"/>
                      <w:b/>
                      <w:sz w:val="20"/>
                      <w:szCs w:val="20"/>
                    </w:rPr>
                    <w:t>– способ размещения облигаций: закрытая подписка</w:t>
                  </w:r>
                </w:p>
                <w:p w:rsidR="000A37C5" w:rsidRPr="001F7915" w:rsidRDefault="000A37C5" w:rsidP="00B16ADC">
                  <w:pPr>
                    <w:autoSpaceDE/>
                    <w:autoSpaceDN/>
                    <w:jc w:val="both"/>
                    <w:rPr>
                      <w:rFonts w:ascii="Arial" w:hAnsi="Arial" w:cs="Arial"/>
                      <w:b/>
                      <w:sz w:val="20"/>
                      <w:szCs w:val="20"/>
                    </w:rPr>
                  </w:pPr>
                  <w:r w:rsidRPr="001F7915">
                    <w:rPr>
                      <w:rFonts w:ascii="Arial" w:hAnsi="Arial" w:cs="Arial"/>
                      <w:b/>
                      <w:sz w:val="20"/>
                      <w:szCs w:val="20"/>
                    </w:rPr>
                    <w:t>Круг потенциальных приобретателей облигаций:</w:t>
                  </w:r>
                </w:p>
                <w:p w:rsidR="000A37C5" w:rsidRPr="001F7915" w:rsidRDefault="000A37C5" w:rsidP="00B16ADC">
                  <w:pPr>
                    <w:autoSpaceDE/>
                    <w:autoSpaceDN/>
                    <w:jc w:val="both"/>
                    <w:rPr>
                      <w:rFonts w:ascii="Arial" w:hAnsi="Arial" w:cs="Arial"/>
                      <w:b/>
                      <w:sz w:val="20"/>
                      <w:szCs w:val="20"/>
                    </w:rPr>
                  </w:pPr>
                  <w:r w:rsidRPr="001F7915">
                    <w:rPr>
                      <w:rFonts w:ascii="Arial" w:hAnsi="Arial" w:cs="Arial"/>
                      <w:b/>
                      <w:sz w:val="20"/>
                      <w:szCs w:val="20"/>
                    </w:rPr>
                    <w:t xml:space="preserve"> Акционерное общество «Агентство по ипотечному жилищному кредитованию» </w:t>
                  </w:r>
                </w:p>
                <w:p w:rsidR="000A37C5" w:rsidRPr="001F7915" w:rsidRDefault="000A37C5" w:rsidP="00B16ADC">
                  <w:pPr>
                    <w:autoSpaceDE/>
                    <w:autoSpaceDN/>
                    <w:jc w:val="both"/>
                    <w:rPr>
                      <w:rFonts w:ascii="Arial" w:hAnsi="Arial" w:cs="Arial"/>
                      <w:b/>
                      <w:sz w:val="20"/>
                      <w:szCs w:val="20"/>
                    </w:rPr>
                  </w:pPr>
                  <w:r w:rsidRPr="001F7915">
                    <w:rPr>
                      <w:rFonts w:ascii="Arial" w:hAnsi="Arial" w:cs="Arial"/>
                      <w:b/>
                      <w:sz w:val="20"/>
                      <w:szCs w:val="20"/>
                    </w:rPr>
                    <w:t>ОГРН Акционерное общество «Агентство по ипотечному жилищному кредитованию»: 1027700262270;</w:t>
                  </w:r>
                </w:p>
                <w:p w:rsidR="000A37C5" w:rsidRPr="001F7915" w:rsidRDefault="000A37C5" w:rsidP="00B16ADC">
                  <w:pPr>
                    <w:autoSpaceDE/>
                    <w:autoSpaceDN/>
                    <w:jc w:val="both"/>
                    <w:rPr>
                      <w:rFonts w:ascii="Arial" w:hAnsi="Arial" w:cs="Arial"/>
                      <w:b/>
                      <w:sz w:val="20"/>
                      <w:szCs w:val="20"/>
                    </w:rPr>
                  </w:pPr>
                  <w:r w:rsidRPr="001F7915">
                    <w:rPr>
                      <w:rFonts w:ascii="Arial" w:hAnsi="Arial" w:cs="Arial"/>
                      <w:b/>
                      <w:sz w:val="20"/>
                      <w:szCs w:val="20"/>
                    </w:rPr>
                    <w:t>– цена размещения облигаций: 1000 (Одна тысяча) рублей за Облигацию.</w:t>
                  </w:r>
                </w:p>
                <w:p w:rsidR="000A37C5" w:rsidRPr="001F7915" w:rsidRDefault="000A37C5" w:rsidP="00B16ADC">
                  <w:pPr>
                    <w:autoSpaceDE/>
                    <w:autoSpaceDN/>
                    <w:jc w:val="both"/>
                    <w:rPr>
                      <w:rFonts w:ascii="Arial" w:hAnsi="Arial" w:cs="Arial"/>
                      <w:b/>
                      <w:sz w:val="20"/>
                      <w:szCs w:val="20"/>
                    </w:rPr>
                  </w:pPr>
                  <w:r w:rsidRPr="001F7915">
                    <w:rPr>
                      <w:rFonts w:ascii="Arial" w:hAnsi="Arial" w:cs="Arial"/>
                      <w:b/>
                      <w:sz w:val="20"/>
                      <w:szCs w:val="20"/>
                    </w:rPr>
                    <w:t>Банк имеет право начинать размещение Облигаций только после обеспечения доступа к информации, содержащейся в реестре ипотечного покрытия Облигаций, в порядке, установленном Федеральным законом № 152-ФЗ от 11 ноября 2003 г. "Об ипотечных ценных бумагах"  (с изменениями и дополнениями).</w:t>
                  </w:r>
                </w:p>
                <w:p w:rsidR="000A37C5" w:rsidRPr="001F7915" w:rsidRDefault="000A37C5" w:rsidP="00B16ADC">
                  <w:pPr>
                    <w:autoSpaceDE/>
                    <w:autoSpaceDN/>
                    <w:jc w:val="both"/>
                    <w:rPr>
                      <w:rFonts w:ascii="Arial" w:hAnsi="Arial" w:cs="Arial"/>
                      <w:b/>
                      <w:sz w:val="20"/>
                      <w:szCs w:val="20"/>
                    </w:rPr>
                  </w:pPr>
                  <w:r w:rsidRPr="001F7915">
                    <w:rPr>
                      <w:rFonts w:ascii="Arial" w:hAnsi="Arial" w:cs="Arial"/>
                      <w:b/>
                      <w:sz w:val="20"/>
                      <w:szCs w:val="20"/>
                    </w:rPr>
                    <w:t>Начиная со второго дня размещения Облигаций выпуска, покупатель при совершении сделки купли – продажи Облигаций помимо цены размещения Облигаций уплачивает НКД, рассчитываемый по следующей формуле:</w:t>
                  </w:r>
                </w:p>
                <w:p w:rsidR="000A37C5" w:rsidRPr="001F7915" w:rsidRDefault="000A37C5" w:rsidP="00B16ADC">
                  <w:pPr>
                    <w:autoSpaceDE/>
                    <w:autoSpaceDN/>
                    <w:jc w:val="both"/>
                    <w:rPr>
                      <w:rFonts w:ascii="Arial" w:hAnsi="Arial" w:cs="Arial"/>
                      <w:b/>
                      <w:sz w:val="20"/>
                      <w:szCs w:val="20"/>
                    </w:rPr>
                  </w:pPr>
                  <w:r w:rsidRPr="001F7915">
                    <w:rPr>
                      <w:rFonts w:ascii="Arial" w:hAnsi="Arial" w:cs="Arial"/>
                      <w:b/>
                      <w:sz w:val="20"/>
                      <w:szCs w:val="20"/>
                    </w:rPr>
                    <w:t xml:space="preserve">НКД = C1 * </w:t>
                  </w:r>
                  <w:proofErr w:type="spellStart"/>
                  <w:r w:rsidRPr="001F7915">
                    <w:rPr>
                      <w:rFonts w:ascii="Arial" w:hAnsi="Arial" w:cs="Arial"/>
                      <w:b/>
                      <w:sz w:val="20"/>
                      <w:szCs w:val="20"/>
                    </w:rPr>
                    <w:t>Nom</w:t>
                  </w:r>
                  <w:proofErr w:type="spellEnd"/>
                  <w:r w:rsidRPr="001F7915">
                    <w:rPr>
                      <w:rFonts w:ascii="Arial" w:hAnsi="Arial" w:cs="Arial"/>
                      <w:b/>
                      <w:sz w:val="20"/>
                      <w:szCs w:val="20"/>
                    </w:rPr>
                    <w:t xml:space="preserve"> * (T - T(0))/ 365/ 100 %, где</w:t>
                  </w:r>
                </w:p>
                <w:p w:rsidR="000A37C5" w:rsidRPr="001F7915" w:rsidRDefault="000A37C5" w:rsidP="00B16ADC">
                  <w:pPr>
                    <w:autoSpaceDE/>
                    <w:autoSpaceDN/>
                    <w:jc w:val="both"/>
                    <w:rPr>
                      <w:rFonts w:ascii="Arial" w:hAnsi="Arial" w:cs="Arial"/>
                      <w:b/>
                      <w:sz w:val="20"/>
                      <w:szCs w:val="20"/>
                    </w:rPr>
                  </w:pPr>
                  <w:r w:rsidRPr="001F7915">
                    <w:rPr>
                      <w:rFonts w:ascii="Arial" w:hAnsi="Arial" w:cs="Arial"/>
                      <w:b/>
                      <w:sz w:val="20"/>
                      <w:szCs w:val="20"/>
                    </w:rPr>
                    <w:t>НКД – накопленный купонный доход, в рублях;</w:t>
                  </w:r>
                </w:p>
                <w:p w:rsidR="000A37C5" w:rsidRPr="001F7915" w:rsidRDefault="000A37C5" w:rsidP="00B16ADC">
                  <w:pPr>
                    <w:autoSpaceDE/>
                    <w:autoSpaceDN/>
                    <w:jc w:val="both"/>
                    <w:rPr>
                      <w:rFonts w:ascii="Arial" w:hAnsi="Arial" w:cs="Arial"/>
                      <w:b/>
                      <w:sz w:val="20"/>
                      <w:szCs w:val="20"/>
                    </w:rPr>
                  </w:pPr>
                  <w:proofErr w:type="spellStart"/>
                  <w:r w:rsidRPr="001F7915">
                    <w:rPr>
                      <w:rFonts w:ascii="Arial" w:hAnsi="Arial" w:cs="Arial"/>
                      <w:b/>
                      <w:sz w:val="20"/>
                      <w:szCs w:val="20"/>
                    </w:rPr>
                    <w:t>Nom</w:t>
                  </w:r>
                  <w:proofErr w:type="spellEnd"/>
                  <w:r w:rsidRPr="001F7915">
                    <w:rPr>
                      <w:rFonts w:ascii="Arial" w:hAnsi="Arial" w:cs="Arial"/>
                      <w:b/>
                      <w:sz w:val="20"/>
                      <w:szCs w:val="20"/>
                    </w:rPr>
                    <w:t xml:space="preserve"> - номинальная стоимость одной Облигации, в рублях;</w:t>
                  </w:r>
                </w:p>
                <w:p w:rsidR="000A37C5" w:rsidRPr="001F7915" w:rsidRDefault="000A37C5" w:rsidP="00B16ADC">
                  <w:pPr>
                    <w:autoSpaceDE/>
                    <w:autoSpaceDN/>
                    <w:jc w:val="both"/>
                    <w:rPr>
                      <w:rFonts w:ascii="Arial" w:hAnsi="Arial" w:cs="Arial"/>
                      <w:b/>
                      <w:sz w:val="20"/>
                      <w:szCs w:val="20"/>
                    </w:rPr>
                  </w:pPr>
                  <w:r w:rsidRPr="001F7915">
                    <w:rPr>
                      <w:rFonts w:ascii="Arial" w:hAnsi="Arial" w:cs="Arial"/>
                      <w:b/>
                      <w:sz w:val="20"/>
                      <w:szCs w:val="20"/>
                    </w:rPr>
                    <w:t>C1 - величина процентной ставки 1-го купонного периода, в процентах годовых;</w:t>
                  </w:r>
                </w:p>
                <w:p w:rsidR="000A37C5" w:rsidRPr="001F7915" w:rsidRDefault="000A37C5" w:rsidP="00B16ADC">
                  <w:pPr>
                    <w:autoSpaceDE/>
                    <w:autoSpaceDN/>
                    <w:jc w:val="both"/>
                    <w:rPr>
                      <w:rFonts w:ascii="Arial" w:hAnsi="Arial" w:cs="Arial"/>
                      <w:b/>
                      <w:sz w:val="20"/>
                      <w:szCs w:val="20"/>
                    </w:rPr>
                  </w:pPr>
                  <w:r w:rsidRPr="001F7915">
                    <w:rPr>
                      <w:rFonts w:ascii="Arial" w:hAnsi="Arial" w:cs="Arial"/>
                      <w:b/>
                      <w:sz w:val="20"/>
                      <w:szCs w:val="20"/>
                    </w:rPr>
                    <w:t>T(0) - дата начала размещения Облигаций;</w:t>
                  </w:r>
                </w:p>
                <w:p w:rsidR="000A37C5" w:rsidRPr="001F7915" w:rsidRDefault="000A37C5" w:rsidP="00B16ADC">
                  <w:pPr>
                    <w:autoSpaceDE/>
                    <w:autoSpaceDN/>
                    <w:jc w:val="both"/>
                    <w:rPr>
                      <w:rFonts w:ascii="Arial" w:hAnsi="Arial" w:cs="Arial"/>
                      <w:b/>
                      <w:sz w:val="20"/>
                      <w:szCs w:val="20"/>
                    </w:rPr>
                  </w:pPr>
                  <w:r w:rsidRPr="001F7915">
                    <w:rPr>
                      <w:rFonts w:ascii="Arial" w:hAnsi="Arial" w:cs="Arial"/>
                      <w:b/>
                      <w:sz w:val="20"/>
                      <w:szCs w:val="20"/>
                    </w:rPr>
                    <w:t>T – дата размещения Облигаций.</w:t>
                  </w:r>
                </w:p>
                <w:p w:rsidR="000A37C5" w:rsidRPr="001F7915" w:rsidRDefault="000A37C5" w:rsidP="00B16ADC">
                  <w:pPr>
                    <w:autoSpaceDE/>
                    <w:autoSpaceDN/>
                    <w:jc w:val="both"/>
                    <w:rPr>
                      <w:rFonts w:ascii="Arial" w:hAnsi="Arial" w:cs="Arial"/>
                      <w:b/>
                      <w:sz w:val="20"/>
                      <w:szCs w:val="20"/>
                    </w:rPr>
                  </w:pPr>
                  <w:r w:rsidRPr="001F7915">
                    <w:rPr>
                      <w:rFonts w:ascii="Arial" w:hAnsi="Arial" w:cs="Arial"/>
                      <w:b/>
                      <w:sz w:val="20"/>
                      <w:szCs w:val="20"/>
                    </w:rPr>
                    <w:t xml:space="preserve">НКД рассчитывается с точностью до одной копейки. Округление  второго знака после запятой производится по правилам математического округления.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первая </w:t>
                  </w:r>
                  <w:proofErr w:type="gramStart"/>
                  <w:r w:rsidRPr="001F7915">
                    <w:rPr>
                      <w:rFonts w:ascii="Arial" w:hAnsi="Arial" w:cs="Arial"/>
                      <w:b/>
                      <w:sz w:val="20"/>
                      <w:szCs w:val="20"/>
                    </w:rPr>
                    <w:t>за</w:t>
                  </w:r>
                  <w:proofErr w:type="gramEnd"/>
                  <w:r w:rsidRPr="001F7915">
                    <w:rPr>
                      <w:rFonts w:ascii="Arial" w:hAnsi="Arial" w:cs="Arial"/>
                      <w:b/>
                      <w:sz w:val="20"/>
                      <w:szCs w:val="20"/>
                    </w:rPr>
                    <w:t xml:space="preserve"> округляемой цифра равна от 0 до 4, и изменяется, увеличиваясь на единицу, если первая за округляемой цифра равна от 5 до 9.</w:t>
                  </w:r>
                </w:p>
                <w:p w:rsidR="000A37C5" w:rsidRPr="001F7915" w:rsidRDefault="000A37C5" w:rsidP="00B16ADC">
                  <w:pPr>
                    <w:autoSpaceDE/>
                    <w:autoSpaceDN/>
                    <w:jc w:val="both"/>
                    <w:rPr>
                      <w:rFonts w:ascii="Arial" w:hAnsi="Arial" w:cs="Arial"/>
                      <w:b/>
                      <w:sz w:val="20"/>
                      <w:szCs w:val="20"/>
                    </w:rPr>
                  </w:pPr>
                  <w:r w:rsidRPr="001F7915">
                    <w:rPr>
                      <w:rFonts w:ascii="Arial" w:hAnsi="Arial" w:cs="Arial"/>
                      <w:b/>
                      <w:sz w:val="20"/>
                      <w:szCs w:val="20"/>
                    </w:rPr>
                    <w:t>– форма оплаты облигаций:  денежными средствами в валюте Российской Федерации в безналичном порядке;</w:t>
                  </w:r>
                </w:p>
                <w:p w:rsidR="000A37C5" w:rsidRPr="001F7915" w:rsidRDefault="000A37C5" w:rsidP="00B16ADC">
                  <w:pPr>
                    <w:autoSpaceDE/>
                    <w:autoSpaceDN/>
                    <w:jc w:val="both"/>
                    <w:rPr>
                      <w:rFonts w:ascii="Arial" w:hAnsi="Arial" w:cs="Arial"/>
                      <w:b/>
                      <w:sz w:val="20"/>
                      <w:szCs w:val="20"/>
                    </w:rPr>
                  </w:pPr>
                  <w:r w:rsidRPr="001F7915">
                    <w:rPr>
                      <w:rFonts w:ascii="Arial" w:hAnsi="Arial" w:cs="Arial"/>
                      <w:b/>
                      <w:sz w:val="20"/>
                      <w:szCs w:val="20"/>
                    </w:rPr>
                    <w:t>– срок обращения, порядок и срок погашения облигаций:</w:t>
                  </w:r>
                </w:p>
                <w:p w:rsidR="000A37C5" w:rsidRPr="001F7915" w:rsidRDefault="000A37C5" w:rsidP="00B16ADC">
                  <w:pPr>
                    <w:autoSpaceDE/>
                    <w:autoSpaceDN/>
                    <w:jc w:val="both"/>
                    <w:rPr>
                      <w:rFonts w:ascii="Arial" w:hAnsi="Arial" w:cs="Arial"/>
                      <w:b/>
                      <w:sz w:val="20"/>
                      <w:szCs w:val="20"/>
                    </w:rPr>
                  </w:pPr>
                  <w:r w:rsidRPr="001F7915">
                    <w:rPr>
                      <w:rFonts w:ascii="Arial" w:hAnsi="Arial" w:cs="Arial"/>
                      <w:b/>
                      <w:sz w:val="20"/>
                      <w:szCs w:val="20"/>
                    </w:rPr>
                    <w:t xml:space="preserve">Срок обращения облигаций составляет 5 (Пять) лет </w:t>
                  </w:r>
                  <w:proofErr w:type="gramStart"/>
                  <w:r w:rsidRPr="001F7915">
                    <w:rPr>
                      <w:rFonts w:ascii="Arial" w:hAnsi="Arial" w:cs="Arial"/>
                      <w:b/>
                      <w:sz w:val="20"/>
                      <w:szCs w:val="20"/>
                    </w:rPr>
                    <w:t>с даты начала</w:t>
                  </w:r>
                  <w:proofErr w:type="gramEnd"/>
                  <w:r w:rsidRPr="001F7915">
                    <w:rPr>
                      <w:rFonts w:ascii="Arial" w:hAnsi="Arial" w:cs="Arial"/>
                      <w:b/>
                      <w:sz w:val="20"/>
                      <w:szCs w:val="20"/>
                    </w:rPr>
                    <w:t xml:space="preserve"> размещения Облигаций.</w:t>
                  </w:r>
                </w:p>
                <w:p w:rsidR="000A37C5" w:rsidRPr="001F7915" w:rsidRDefault="000A37C5" w:rsidP="00B16ADC">
                  <w:pPr>
                    <w:autoSpaceDE/>
                    <w:autoSpaceDN/>
                    <w:jc w:val="both"/>
                    <w:rPr>
                      <w:rFonts w:ascii="Arial" w:hAnsi="Arial" w:cs="Arial"/>
                      <w:b/>
                      <w:sz w:val="20"/>
                      <w:szCs w:val="20"/>
                    </w:rPr>
                  </w:pPr>
                  <w:r w:rsidRPr="001F7915">
                    <w:rPr>
                      <w:rFonts w:ascii="Arial" w:hAnsi="Arial" w:cs="Arial"/>
                      <w:b/>
                      <w:sz w:val="20"/>
                      <w:szCs w:val="20"/>
                    </w:rPr>
                    <w:t>Срок (дата) погашения облигаций или порядок его определения:</w:t>
                  </w:r>
                </w:p>
                <w:p w:rsidR="000A37C5" w:rsidRPr="001F7915" w:rsidRDefault="000A37C5" w:rsidP="00B16ADC">
                  <w:pPr>
                    <w:autoSpaceDE/>
                    <w:autoSpaceDN/>
                    <w:jc w:val="both"/>
                    <w:rPr>
                      <w:rFonts w:ascii="Arial" w:hAnsi="Arial" w:cs="Arial"/>
                      <w:b/>
                      <w:sz w:val="20"/>
                      <w:szCs w:val="20"/>
                    </w:rPr>
                  </w:pPr>
                  <w:r w:rsidRPr="001F7915">
                    <w:rPr>
                      <w:rFonts w:ascii="Arial" w:hAnsi="Arial" w:cs="Arial"/>
                      <w:b/>
                      <w:sz w:val="20"/>
                      <w:szCs w:val="20"/>
                    </w:rPr>
                    <w:t xml:space="preserve">Облигации погашаются Кредитной организацией-эмитентом по номинальной стоимости в дату, в которую истекает 5 (Пять) лет </w:t>
                  </w:r>
                  <w:proofErr w:type="gramStart"/>
                  <w:r w:rsidRPr="001F7915">
                    <w:rPr>
                      <w:rFonts w:ascii="Arial" w:hAnsi="Arial" w:cs="Arial"/>
                      <w:b/>
                      <w:sz w:val="20"/>
                      <w:szCs w:val="20"/>
                    </w:rPr>
                    <w:t>с даты начала</w:t>
                  </w:r>
                  <w:proofErr w:type="gramEnd"/>
                  <w:r w:rsidRPr="001F7915">
                    <w:rPr>
                      <w:rFonts w:ascii="Arial" w:hAnsi="Arial" w:cs="Arial"/>
                      <w:b/>
                      <w:sz w:val="20"/>
                      <w:szCs w:val="20"/>
                    </w:rPr>
                    <w:t xml:space="preserve"> размещения Облигаций (далее – «Дата погашения Облигаций»). </w:t>
                  </w:r>
                </w:p>
                <w:p w:rsidR="000A37C5" w:rsidRPr="001F7915" w:rsidRDefault="000A37C5" w:rsidP="00B16ADC">
                  <w:pPr>
                    <w:autoSpaceDE/>
                    <w:autoSpaceDN/>
                    <w:jc w:val="both"/>
                    <w:rPr>
                      <w:rFonts w:ascii="Arial" w:hAnsi="Arial" w:cs="Arial"/>
                      <w:b/>
                      <w:sz w:val="20"/>
                      <w:szCs w:val="20"/>
                    </w:rPr>
                  </w:pPr>
                  <w:r w:rsidRPr="001F7915">
                    <w:rPr>
                      <w:rFonts w:ascii="Arial" w:hAnsi="Arial" w:cs="Arial"/>
                      <w:b/>
                      <w:sz w:val="20"/>
                      <w:szCs w:val="20"/>
                    </w:rPr>
                    <w:t>Дата начала и дата окончания погашения Облигаций выпуска совпадают.</w:t>
                  </w:r>
                </w:p>
                <w:p w:rsidR="000A37C5" w:rsidRPr="001F7915" w:rsidRDefault="000A37C5" w:rsidP="00B16ADC">
                  <w:pPr>
                    <w:autoSpaceDE/>
                    <w:autoSpaceDN/>
                    <w:jc w:val="both"/>
                    <w:rPr>
                      <w:rFonts w:ascii="Arial" w:hAnsi="Arial" w:cs="Arial"/>
                      <w:b/>
                      <w:sz w:val="20"/>
                      <w:szCs w:val="20"/>
                    </w:rPr>
                  </w:pPr>
                  <w:r w:rsidRPr="001F7915">
                    <w:rPr>
                      <w:rFonts w:ascii="Arial" w:hAnsi="Arial" w:cs="Arial"/>
                      <w:b/>
                      <w:sz w:val="20"/>
                      <w:szCs w:val="20"/>
                    </w:rPr>
                    <w:t>При погашении Облигаций выплачивается доход за последний купонный период.</w:t>
                  </w:r>
                </w:p>
                <w:p w:rsidR="000A37C5" w:rsidRPr="001F7915" w:rsidRDefault="000A37C5" w:rsidP="00B16ADC">
                  <w:pPr>
                    <w:autoSpaceDE/>
                    <w:autoSpaceDN/>
                    <w:jc w:val="both"/>
                    <w:rPr>
                      <w:rFonts w:ascii="Arial" w:hAnsi="Arial" w:cs="Arial"/>
                      <w:b/>
                      <w:sz w:val="20"/>
                      <w:szCs w:val="20"/>
                    </w:rPr>
                  </w:pPr>
                  <w:r w:rsidRPr="001F7915">
                    <w:rPr>
                      <w:rFonts w:ascii="Arial" w:hAnsi="Arial" w:cs="Arial"/>
                      <w:b/>
                      <w:sz w:val="20"/>
                      <w:szCs w:val="20"/>
                    </w:rPr>
                    <w:t xml:space="preserve">Если дата погашения Облигаций приходится на нерабочий праздничный или выходной день – независимо от того, будет ли это государственный выходной день или выходной день для </w:t>
                  </w:r>
                  <w:r w:rsidRPr="001F7915">
                    <w:rPr>
                      <w:rFonts w:ascii="Arial" w:hAnsi="Arial" w:cs="Arial"/>
                      <w:b/>
                      <w:sz w:val="20"/>
                      <w:szCs w:val="20"/>
                    </w:rPr>
                    <w:lastRenderedPageBreak/>
                    <w:t>расчетных операций, - то перечисление надлежащей суммы производится в первый рабочий день, следующий за нерабочим праздничным или выходным днем. Владелец Облигации не имеет права требовать начисления процентов или иной компенсации за такую задержку в платеже.</w:t>
                  </w:r>
                </w:p>
                <w:p w:rsidR="000A37C5" w:rsidRPr="001F7915" w:rsidRDefault="000A37C5" w:rsidP="00B16ADC">
                  <w:pPr>
                    <w:autoSpaceDE/>
                    <w:autoSpaceDN/>
                    <w:jc w:val="both"/>
                    <w:rPr>
                      <w:rFonts w:ascii="Arial" w:hAnsi="Arial" w:cs="Arial"/>
                      <w:b/>
                      <w:sz w:val="20"/>
                      <w:szCs w:val="20"/>
                    </w:rPr>
                  </w:pPr>
                  <w:r w:rsidRPr="001F7915">
                    <w:rPr>
                      <w:rFonts w:ascii="Arial" w:hAnsi="Arial" w:cs="Arial"/>
                      <w:b/>
                      <w:sz w:val="20"/>
                      <w:szCs w:val="20"/>
                    </w:rPr>
                    <w:t xml:space="preserve">Порядок и условия погашения облигаций: </w:t>
                  </w:r>
                </w:p>
                <w:p w:rsidR="000A37C5" w:rsidRPr="001F7915" w:rsidRDefault="000A37C5" w:rsidP="00B16ADC">
                  <w:pPr>
                    <w:autoSpaceDE/>
                    <w:autoSpaceDN/>
                    <w:jc w:val="both"/>
                    <w:rPr>
                      <w:rFonts w:ascii="Arial" w:hAnsi="Arial" w:cs="Arial"/>
                      <w:b/>
                      <w:sz w:val="20"/>
                      <w:szCs w:val="20"/>
                    </w:rPr>
                  </w:pPr>
                  <w:r w:rsidRPr="001F7915">
                    <w:rPr>
                      <w:rFonts w:ascii="Arial" w:hAnsi="Arial" w:cs="Arial"/>
                      <w:b/>
                      <w:sz w:val="20"/>
                      <w:szCs w:val="20"/>
                    </w:rPr>
                    <w:t xml:space="preserve">Погашение Облигаций производится в безналичном порядке денежными средствами в рублях Российской Федерации в пользу владельцев Облигаций. Возможность выбора формы погашения Облигаций не предусмотрена. </w:t>
                  </w:r>
                </w:p>
                <w:p w:rsidR="000A37C5" w:rsidRPr="001F7915" w:rsidRDefault="000A37C5" w:rsidP="00B16ADC">
                  <w:pPr>
                    <w:autoSpaceDE/>
                    <w:autoSpaceDN/>
                    <w:jc w:val="both"/>
                    <w:rPr>
                      <w:rFonts w:ascii="Arial" w:hAnsi="Arial" w:cs="Arial"/>
                      <w:b/>
                      <w:sz w:val="20"/>
                      <w:szCs w:val="20"/>
                    </w:rPr>
                  </w:pPr>
                  <w:r w:rsidRPr="001F7915">
                    <w:rPr>
                      <w:rFonts w:ascii="Arial" w:hAnsi="Arial" w:cs="Arial"/>
                      <w:b/>
                      <w:sz w:val="20"/>
                      <w:szCs w:val="20"/>
                    </w:rPr>
                    <w:t xml:space="preserve">Возможность и условия досрочного погашения облигаций: </w:t>
                  </w:r>
                </w:p>
                <w:p w:rsidR="000A37C5" w:rsidRPr="001F7915" w:rsidRDefault="000A37C5" w:rsidP="00B16ADC">
                  <w:pPr>
                    <w:autoSpaceDE/>
                    <w:autoSpaceDN/>
                    <w:jc w:val="both"/>
                    <w:rPr>
                      <w:rFonts w:ascii="Arial" w:hAnsi="Arial" w:cs="Arial"/>
                      <w:b/>
                      <w:sz w:val="20"/>
                      <w:szCs w:val="20"/>
                    </w:rPr>
                  </w:pPr>
                  <w:r w:rsidRPr="001F7915">
                    <w:rPr>
                      <w:rFonts w:ascii="Arial" w:hAnsi="Arial" w:cs="Arial"/>
                      <w:b/>
                      <w:sz w:val="20"/>
                      <w:szCs w:val="20"/>
                    </w:rPr>
                    <w:t xml:space="preserve">Предусмотрено досрочное погашение Облигаций по требованию владельцев Облигаций Кредитной организации–эмитента. </w:t>
                  </w:r>
                </w:p>
                <w:p w:rsidR="000A37C5" w:rsidRPr="001F7915" w:rsidRDefault="000A37C5" w:rsidP="00B16ADC">
                  <w:pPr>
                    <w:autoSpaceDE/>
                    <w:autoSpaceDN/>
                    <w:jc w:val="both"/>
                    <w:rPr>
                      <w:rFonts w:ascii="Arial" w:hAnsi="Arial" w:cs="Arial"/>
                      <w:b/>
                      <w:sz w:val="20"/>
                      <w:szCs w:val="20"/>
                    </w:rPr>
                  </w:pPr>
                  <w:r w:rsidRPr="001F7915">
                    <w:rPr>
                      <w:rFonts w:ascii="Arial" w:hAnsi="Arial" w:cs="Arial"/>
                      <w:b/>
                      <w:sz w:val="20"/>
                      <w:szCs w:val="20"/>
                    </w:rPr>
                    <w:t>Условиями выпуска не предусмотрена возможность досрочного погашения Облигаций по усмотрению Кредитной организации–эмитента.</w:t>
                  </w:r>
                </w:p>
                <w:p w:rsidR="000A37C5" w:rsidRPr="001F7915" w:rsidRDefault="000A37C5" w:rsidP="00B16ADC">
                  <w:pPr>
                    <w:autoSpaceDE/>
                    <w:autoSpaceDN/>
                    <w:jc w:val="both"/>
                    <w:rPr>
                      <w:rFonts w:ascii="Arial" w:hAnsi="Arial" w:cs="Arial"/>
                      <w:b/>
                      <w:sz w:val="20"/>
                      <w:szCs w:val="20"/>
                    </w:rPr>
                  </w:pPr>
                  <w:r w:rsidRPr="001F7915">
                    <w:rPr>
                      <w:rFonts w:ascii="Arial" w:hAnsi="Arial" w:cs="Arial"/>
                      <w:b/>
                      <w:sz w:val="20"/>
                      <w:szCs w:val="20"/>
                    </w:rPr>
                    <w:t>Условия и порядок  досрочного погашения облигаций  устанавливаются Решением о выпуске ценных бумаг.</w:t>
                  </w:r>
                </w:p>
                <w:p w:rsidR="000A37C5" w:rsidRPr="001F7915" w:rsidRDefault="000A37C5" w:rsidP="00B16ADC">
                  <w:pPr>
                    <w:autoSpaceDE/>
                    <w:autoSpaceDN/>
                    <w:jc w:val="both"/>
                    <w:rPr>
                      <w:rFonts w:ascii="Arial" w:hAnsi="Arial" w:cs="Arial"/>
                      <w:b/>
                      <w:sz w:val="20"/>
                      <w:szCs w:val="20"/>
                    </w:rPr>
                  </w:pPr>
                  <w:r w:rsidRPr="001F7915">
                    <w:rPr>
                      <w:rFonts w:ascii="Arial" w:hAnsi="Arial" w:cs="Arial"/>
                      <w:b/>
                      <w:sz w:val="20"/>
                      <w:szCs w:val="20"/>
                    </w:rPr>
                    <w:t xml:space="preserve">– порядок определения дохода по облигациям: </w:t>
                  </w:r>
                </w:p>
                <w:p w:rsidR="000A37C5" w:rsidRPr="001F7915" w:rsidRDefault="000A37C5" w:rsidP="00B16ADC">
                  <w:pPr>
                    <w:autoSpaceDE/>
                    <w:autoSpaceDN/>
                    <w:jc w:val="both"/>
                    <w:rPr>
                      <w:rFonts w:ascii="Arial" w:hAnsi="Arial" w:cs="Arial"/>
                      <w:b/>
                      <w:sz w:val="20"/>
                      <w:szCs w:val="20"/>
                    </w:rPr>
                  </w:pPr>
                  <w:r w:rsidRPr="001F7915">
                    <w:rPr>
                      <w:rFonts w:ascii="Arial" w:hAnsi="Arial" w:cs="Arial"/>
                      <w:b/>
                      <w:sz w:val="20"/>
                      <w:szCs w:val="20"/>
                    </w:rPr>
                    <w:t xml:space="preserve">Доходом по Облигациям является сумма купонных доходов, начисляемых за каждый купонный период в виде процентов от номинальной стоимости Облигаций и выплачиваемых в дату окончания соответствующего купонного периода. </w:t>
                  </w:r>
                </w:p>
                <w:p w:rsidR="000A37C5" w:rsidRPr="001F7915" w:rsidRDefault="000A37C5" w:rsidP="00B16ADC">
                  <w:pPr>
                    <w:autoSpaceDE/>
                    <w:autoSpaceDN/>
                    <w:jc w:val="both"/>
                    <w:rPr>
                      <w:rFonts w:ascii="Arial" w:hAnsi="Arial" w:cs="Arial"/>
                      <w:b/>
                      <w:sz w:val="20"/>
                      <w:szCs w:val="20"/>
                    </w:rPr>
                  </w:pPr>
                  <w:r w:rsidRPr="001F7915">
                    <w:rPr>
                      <w:rFonts w:ascii="Arial" w:hAnsi="Arial" w:cs="Arial"/>
                      <w:b/>
                      <w:sz w:val="20"/>
                      <w:szCs w:val="20"/>
                    </w:rPr>
                    <w:t>Купонный доход по неразмещенным Облигациям или по Облигациям, переведенным на счета Кредитной организации-эмитента в НРД, не начисляется и не выплачивается.</w:t>
                  </w:r>
                </w:p>
                <w:p w:rsidR="000A37C5" w:rsidRPr="001F7915" w:rsidRDefault="000A37C5" w:rsidP="00B16ADC">
                  <w:pPr>
                    <w:autoSpaceDE/>
                    <w:autoSpaceDN/>
                    <w:jc w:val="both"/>
                    <w:rPr>
                      <w:rFonts w:ascii="Arial" w:hAnsi="Arial" w:cs="Arial"/>
                      <w:b/>
                      <w:sz w:val="20"/>
                      <w:szCs w:val="20"/>
                    </w:rPr>
                  </w:pPr>
                  <w:r w:rsidRPr="001F7915">
                    <w:rPr>
                      <w:rFonts w:ascii="Arial" w:hAnsi="Arial" w:cs="Arial"/>
                      <w:b/>
                      <w:sz w:val="20"/>
                      <w:szCs w:val="20"/>
                    </w:rPr>
                    <w:t>Облигации имеют 10 (Десять</w:t>
                  </w:r>
                  <w:proofErr w:type="gramStart"/>
                  <w:r w:rsidRPr="001F7915">
                    <w:rPr>
                      <w:rFonts w:ascii="Arial" w:hAnsi="Arial" w:cs="Arial"/>
                      <w:b/>
                      <w:sz w:val="20"/>
                      <w:szCs w:val="20"/>
                    </w:rPr>
                    <w:t xml:space="preserve"> )</w:t>
                  </w:r>
                  <w:proofErr w:type="gramEnd"/>
                  <w:r w:rsidRPr="001F7915">
                    <w:rPr>
                      <w:rFonts w:ascii="Arial" w:hAnsi="Arial" w:cs="Arial"/>
                      <w:b/>
                      <w:sz w:val="20"/>
                      <w:szCs w:val="20"/>
                    </w:rPr>
                    <w:t xml:space="preserve"> купонов.</w:t>
                  </w:r>
                </w:p>
                <w:p w:rsidR="000A37C5" w:rsidRPr="001F7915" w:rsidRDefault="000A37C5" w:rsidP="00B16ADC">
                  <w:pPr>
                    <w:autoSpaceDE/>
                    <w:autoSpaceDN/>
                    <w:jc w:val="both"/>
                    <w:rPr>
                      <w:rFonts w:ascii="Arial" w:hAnsi="Arial" w:cs="Arial"/>
                      <w:b/>
                      <w:sz w:val="20"/>
                      <w:szCs w:val="20"/>
                    </w:rPr>
                  </w:pPr>
                  <w:r w:rsidRPr="001F7915">
                    <w:rPr>
                      <w:rFonts w:ascii="Arial" w:hAnsi="Arial" w:cs="Arial"/>
                      <w:b/>
                      <w:sz w:val="20"/>
                      <w:szCs w:val="20"/>
                    </w:rPr>
                    <w:t>Длительность каждого из купонных периодов устанавливается равной 6 (Шести) месяцам.</w:t>
                  </w:r>
                </w:p>
                <w:p w:rsidR="000A37C5" w:rsidRPr="001F7915" w:rsidRDefault="000A37C5" w:rsidP="00B16ADC">
                  <w:pPr>
                    <w:autoSpaceDE/>
                    <w:autoSpaceDN/>
                    <w:jc w:val="both"/>
                    <w:rPr>
                      <w:rFonts w:ascii="Arial" w:hAnsi="Arial" w:cs="Arial"/>
                      <w:b/>
                      <w:sz w:val="20"/>
                      <w:szCs w:val="20"/>
                    </w:rPr>
                  </w:pPr>
                  <w:r w:rsidRPr="001F7915">
                    <w:rPr>
                      <w:rFonts w:ascii="Arial" w:hAnsi="Arial" w:cs="Arial"/>
                      <w:b/>
                      <w:sz w:val="20"/>
                      <w:szCs w:val="20"/>
                    </w:rPr>
                    <w:t xml:space="preserve">Так как дата окончания купонного периода исчисляется месяцами </w:t>
                  </w:r>
                  <w:proofErr w:type="gramStart"/>
                  <w:r w:rsidRPr="001F7915">
                    <w:rPr>
                      <w:rFonts w:ascii="Arial" w:hAnsi="Arial" w:cs="Arial"/>
                      <w:b/>
                      <w:sz w:val="20"/>
                      <w:szCs w:val="20"/>
                    </w:rPr>
                    <w:t>с даты начала</w:t>
                  </w:r>
                  <w:proofErr w:type="gramEnd"/>
                  <w:r w:rsidRPr="001F7915">
                    <w:rPr>
                      <w:rFonts w:ascii="Arial" w:hAnsi="Arial" w:cs="Arial"/>
                      <w:b/>
                      <w:sz w:val="20"/>
                      <w:szCs w:val="20"/>
                    </w:rPr>
                    <w:t xml:space="preserve"> размещения, то датой окончания купонного периода является соответствующая дата последнего месяца купонного периода. Если дата окончания купонного периода выпадает на такой месяц, в котором нет соответствующего числа, то купонный период истекает в последний день этого месяца.</w:t>
                  </w:r>
                </w:p>
                <w:p w:rsidR="000A37C5" w:rsidRPr="001F7915" w:rsidRDefault="000A37C5" w:rsidP="00B16ADC">
                  <w:pPr>
                    <w:autoSpaceDE/>
                    <w:autoSpaceDN/>
                    <w:jc w:val="both"/>
                    <w:rPr>
                      <w:rFonts w:ascii="Arial" w:hAnsi="Arial" w:cs="Arial"/>
                      <w:b/>
                      <w:sz w:val="20"/>
                      <w:szCs w:val="20"/>
                    </w:rPr>
                  </w:pPr>
                  <w:r w:rsidRPr="001F7915">
                    <w:rPr>
                      <w:rFonts w:ascii="Arial" w:hAnsi="Arial" w:cs="Arial"/>
                      <w:b/>
                      <w:sz w:val="20"/>
                      <w:szCs w:val="20"/>
                    </w:rPr>
                    <w:t>Размер (порядок определения размера) процента (купона) определяется уполномоченным органом управления Кредитной организации-эмитента.</w:t>
                  </w:r>
                </w:p>
                <w:p w:rsidR="000A37C5" w:rsidRPr="001F7915" w:rsidRDefault="000A37C5" w:rsidP="00B16ADC">
                  <w:pPr>
                    <w:autoSpaceDE/>
                    <w:autoSpaceDN/>
                    <w:jc w:val="both"/>
                    <w:rPr>
                      <w:rFonts w:ascii="Arial" w:hAnsi="Arial" w:cs="Arial"/>
                      <w:b/>
                      <w:sz w:val="20"/>
                      <w:szCs w:val="20"/>
                    </w:rPr>
                  </w:pPr>
                  <w:r w:rsidRPr="001F7915">
                    <w:rPr>
                      <w:rFonts w:ascii="Arial" w:hAnsi="Arial" w:cs="Arial"/>
                      <w:b/>
                      <w:sz w:val="20"/>
                      <w:szCs w:val="20"/>
                    </w:rPr>
                    <w:t xml:space="preserve">Органом управления, уполномоченным на принятие решения об определении размера (порядка определения размера)  процента (купона) по Облигациям, является единоличный исполнительный орган Кредитной организации-эмитента – Председатель Правления Кредитной организации-эмитента. </w:t>
                  </w:r>
                </w:p>
                <w:p w:rsidR="000A37C5" w:rsidRPr="001F7915" w:rsidRDefault="000A37C5" w:rsidP="00B16ADC">
                  <w:pPr>
                    <w:autoSpaceDE/>
                    <w:autoSpaceDN/>
                    <w:jc w:val="both"/>
                    <w:rPr>
                      <w:rFonts w:ascii="Arial" w:hAnsi="Arial" w:cs="Arial"/>
                      <w:b/>
                      <w:sz w:val="20"/>
                      <w:szCs w:val="20"/>
                    </w:rPr>
                  </w:pPr>
                  <w:r w:rsidRPr="001F7915">
                    <w:rPr>
                      <w:rFonts w:ascii="Arial" w:hAnsi="Arial" w:cs="Arial"/>
                      <w:b/>
                      <w:sz w:val="20"/>
                      <w:szCs w:val="20"/>
                    </w:rPr>
                    <w:t>Расчёт суммы выплат на одну Облигацию производится по следующей формуле:</w:t>
                  </w:r>
                </w:p>
                <w:p w:rsidR="000A37C5" w:rsidRPr="001F7915" w:rsidRDefault="000A37C5" w:rsidP="00B16ADC">
                  <w:pPr>
                    <w:autoSpaceDE/>
                    <w:autoSpaceDN/>
                    <w:jc w:val="both"/>
                    <w:rPr>
                      <w:rFonts w:ascii="Arial" w:hAnsi="Arial" w:cs="Arial"/>
                      <w:b/>
                      <w:sz w:val="20"/>
                      <w:szCs w:val="20"/>
                      <w:lang w:val="en-US"/>
                    </w:rPr>
                  </w:pPr>
                  <w:proofErr w:type="gramStart"/>
                  <w:r w:rsidRPr="001F7915">
                    <w:rPr>
                      <w:rFonts w:ascii="Arial" w:hAnsi="Arial" w:cs="Arial"/>
                      <w:b/>
                      <w:sz w:val="20"/>
                      <w:szCs w:val="20"/>
                    </w:rPr>
                    <w:t>К</w:t>
                  </w:r>
                  <w:proofErr w:type="spellStart"/>
                  <w:r w:rsidRPr="001F7915">
                    <w:rPr>
                      <w:rFonts w:ascii="Arial" w:hAnsi="Arial" w:cs="Arial"/>
                      <w:b/>
                      <w:sz w:val="20"/>
                      <w:szCs w:val="20"/>
                      <w:lang w:val="en-US"/>
                    </w:rPr>
                    <w:t>i</w:t>
                  </w:r>
                  <w:proofErr w:type="spellEnd"/>
                  <w:r w:rsidRPr="001F7915">
                    <w:rPr>
                      <w:rFonts w:ascii="Arial" w:hAnsi="Arial" w:cs="Arial"/>
                      <w:b/>
                      <w:sz w:val="20"/>
                      <w:szCs w:val="20"/>
                      <w:lang w:val="en-US"/>
                    </w:rPr>
                    <w:t xml:space="preserve"> = Ci * Nom * (</w:t>
                  </w:r>
                  <w:proofErr w:type="spellStart"/>
                  <w:r w:rsidRPr="001F7915">
                    <w:rPr>
                      <w:rFonts w:ascii="Arial" w:hAnsi="Arial" w:cs="Arial"/>
                      <w:b/>
                      <w:sz w:val="20"/>
                      <w:szCs w:val="20"/>
                      <w:lang w:val="en-US"/>
                    </w:rPr>
                    <w:t>Ti</w:t>
                  </w:r>
                  <w:proofErr w:type="spellEnd"/>
                  <w:r w:rsidRPr="001F7915">
                    <w:rPr>
                      <w:rFonts w:ascii="Arial" w:hAnsi="Arial" w:cs="Arial"/>
                      <w:b/>
                      <w:sz w:val="20"/>
                      <w:szCs w:val="20"/>
                      <w:lang w:val="en-US"/>
                    </w:rPr>
                    <w:t xml:space="preserve"> – T(i-1))/ 365)/ 100 %, </w:t>
                  </w:r>
                  <w:proofErr w:type="gramEnd"/>
                </w:p>
                <w:p w:rsidR="000A37C5" w:rsidRPr="001F7915" w:rsidRDefault="000A37C5" w:rsidP="00B16ADC">
                  <w:pPr>
                    <w:autoSpaceDE/>
                    <w:autoSpaceDN/>
                    <w:jc w:val="both"/>
                    <w:rPr>
                      <w:rFonts w:ascii="Arial" w:hAnsi="Arial" w:cs="Arial"/>
                      <w:b/>
                      <w:sz w:val="20"/>
                      <w:szCs w:val="20"/>
                    </w:rPr>
                  </w:pPr>
                  <w:r w:rsidRPr="001F7915">
                    <w:rPr>
                      <w:rFonts w:ascii="Arial" w:hAnsi="Arial" w:cs="Arial"/>
                      <w:b/>
                      <w:sz w:val="20"/>
                      <w:szCs w:val="20"/>
                    </w:rPr>
                    <w:t>где</w:t>
                  </w:r>
                </w:p>
                <w:p w:rsidR="000A37C5" w:rsidRPr="001F7915" w:rsidRDefault="000A37C5" w:rsidP="00B16ADC">
                  <w:pPr>
                    <w:autoSpaceDE/>
                    <w:autoSpaceDN/>
                    <w:jc w:val="both"/>
                    <w:rPr>
                      <w:rFonts w:ascii="Arial" w:hAnsi="Arial" w:cs="Arial"/>
                      <w:b/>
                      <w:sz w:val="20"/>
                      <w:szCs w:val="20"/>
                    </w:rPr>
                  </w:pPr>
                  <w:r w:rsidRPr="001F7915">
                    <w:rPr>
                      <w:rFonts w:ascii="Arial" w:hAnsi="Arial" w:cs="Arial"/>
                      <w:b/>
                      <w:sz w:val="20"/>
                      <w:szCs w:val="20"/>
                    </w:rPr>
                    <w:t>i - порядковый номер купонного периода, i=1-10;</w:t>
                  </w:r>
                </w:p>
                <w:p w:rsidR="000A37C5" w:rsidRPr="001F7915" w:rsidRDefault="000A37C5" w:rsidP="00B16ADC">
                  <w:pPr>
                    <w:autoSpaceDE/>
                    <w:autoSpaceDN/>
                    <w:jc w:val="both"/>
                    <w:rPr>
                      <w:rFonts w:ascii="Arial" w:hAnsi="Arial" w:cs="Arial"/>
                      <w:b/>
                      <w:sz w:val="20"/>
                      <w:szCs w:val="20"/>
                    </w:rPr>
                  </w:pPr>
                  <w:proofErr w:type="spellStart"/>
                  <w:r w:rsidRPr="001F7915">
                    <w:rPr>
                      <w:rFonts w:ascii="Arial" w:hAnsi="Arial" w:cs="Arial"/>
                      <w:b/>
                      <w:sz w:val="20"/>
                      <w:szCs w:val="20"/>
                    </w:rPr>
                    <w:t>К</w:t>
                  </w:r>
                  <w:proofErr w:type="gramStart"/>
                  <w:r w:rsidRPr="001F7915">
                    <w:rPr>
                      <w:rFonts w:ascii="Arial" w:hAnsi="Arial" w:cs="Arial"/>
                      <w:b/>
                      <w:sz w:val="20"/>
                      <w:szCs w:val="20"/>
                    </w:rPr>
                    <w:t>i</w:t>
                  </w:r>
                  <w:proofErr w:type="spellEnd"/>
                  <w:proofErr w:type="gramEnd"/>
                  <w:r w:rsidRPr="001F7915">
                    <w:rPr>
                      <w:rFonts w:ascii="Arial" w:hAnsi="Arial" w:cs="Arial"/>
                      <w:b/>
                      <w:sz w:val="20"/>
                      <w:szCs w:val="20"/>
                    </w:rPr>
                    <w:t xml:space="preserve"> - сумма купонной выплаты по каждой Облигации, руб.;</w:t>
                  </w:r>
                </w:p>
                <w:p w:rsidR="000A37C5" w:rsidRPr="001F7915" w:rsidRDefault="000A37C5" w:rsidP="00B16ADC">
                  <w:pPr>
                    <w:autoSpaceDE/>
                    <w:autoSpaceDN/>
                    <w:jc w:val="both"/>
                    <w:rPr>
                      <w:rFonts w:ascii="Arial" w:hAnsi="Arial" w:cs="Arial"/>
                      <w:b/>
                      <w:sz w:val="20"/>
                      <w:szCs w:val="20"/>
                    </w:rPr>
                  </w:pPr>
                  <w:proofErr w:type="spellStart"/>
                  <w:r w:rsidRPr="001F7915">
                    <w:rPr>
                      <w:rFonts w:ascii="Arial" w:hAnsi="Arial" w:cs="Arial"/>
                      <w:b/>
                      <w:sz w:val="20"/>
                      <w:szCs w:val="20"/>
                    </w:rPr>
                    <w:t>Nom</w:t>
                  </w:r>
                  <w:proofErr w:type="spellEnd"/>
                  <w:r w:rsidRPr="001F7915">
                    <w:rPr>
                      <w:rFonts w:ascii="Arial" w:hAnsi="Arial" w:cs="Arial"/>
                      <w:b/>
                      <w:sz w:val="20"/>
                      <w:szCs w:val="20"/>
                    </w:rPr>
                    <w:t xml:space="preserve"> – номинальная стоимость одной Облигации, в руб.; </w:t>
                  </w:r>
                </w:p>
                <w:p w:rsidR="000A37C5" w:rsidRPr="001F7915" w:rsidRDefault="000A37C5" w:rsidP="00B16ADC">
                  <w:pPr>
                    <w:autoSpaceDE/>
                    <w:autoSpaceDN/>
                    <w:jc w:val="both"/>
                    <w:rPr>
                      <w:rFonts w:ascii="Arial" w:hAnsi="Arial" w:cs="Arial"/>
                      <w:b/>
                      <w:sz w:val="20"/>
                      <w:szCs w:val="20"/>
                    </w:rPr>
                  </w:pPr>
                  <w:proofErr w:type="spellStart"/>
                  <w:r w:rsidRPr="001F7915">
                    <w:rPr>
                      <w:rFonts w:ascii="Arial" w:hAnsi="Arial" w:cs="Arial"/>
                      <w:b/>
                      <w:sz w:val="20"/>
                      <w:szCs w:val="20"/>
                    </w:rPr>
                    <w:t>Сi</w:t>
                  </w:r>
                  <w:proofErr w:type="spellEnd"/>
                  <w:r w:rsidRPr="001F7915">
                    <w:rPr>
                      <w:rFonts w:ascii="Arial" w:hAnsi="Arial" w:cs="Arial"/>
                      <w:b/>
                      <w:sz w:val="20"/>
                      <w:szCs w:val="20"/>
                    </w:rPr>
                    <w:t xml:space="preserve"> - размер процентной ставки i - ого купонного периода в процентах годовых</w:t>
                  </w:r>
                  <w:proofErr w:type="gramStart"/>
                  <w:r w:rsidRPr="001F7915">
                    <w:rPr>
                      <w:rFonts w:ascii="Arial" w:hAnsi="Arial" w:cs="Arial"/>
                      <w:b/>
                      <w:sz w:val="20"/>
                      <w:szCs w:val="20"/>
                    </w:rPr>
                    <w:t xml:space="preserve"> (%);</w:t>
                  </w:r>
                  <w:proofErr w:type="gramEnd"/>
                </w:p>
                <w:p w:rsidR="000A37C5" w:rsidRPr="001F7915" w:rsidRDefault="000A37C5" w:rsidP="00B16ADC">
                  <w:pPr>
                    <w:autoSpaceDE/>
                    <w:autoSpaceDN/>
                    <w:jc w:val="both"/>
                    <w:rPr>
                      <w:rFonts w:ascii="Arial" w:hAnsi="Arial" w:cs="Arial"/>
                      <w:b/>
                      <w:sz w:val="20"/>
                      <w:szCs w:val="20"/>
                    </w:rPr>
                  </w:pPr>
                  <w:proofErr w:type="spellStart"/>
                  <w:r w:rsidRPr="001F7915">
                    <w:rPr>
                      <w:rFonts w:ascii="Arial" w:hAnsi="Arial" w:cs="Arial"/>
                      <w:b/>
                      <w:sz w:val="20"/>
                      <w:szCs w:val="20"/>
                    </w:rPr>
                    <w:t>Ti</w:t>
                  </w:r>
                  <w:proofErr w:type="spellEnd"/>
                  <w:r w:rsidRPr="001F7915">
                    <w:rPr>
                      <w:rFonts w:ascii="Arial" w:hAnsi="Arial" w:cs="Arial"/>
                      <w:b/>
                      <w:sz w:val="20"/>
                      <w:szCs w:val="20"/>
                    </w:rPr>
                    <w:t>- дата окончания i-ого купонного периода;</w:t>
                  </w:r>
                </w:p>
                <w:p w:rsidR="000A37C5" w:rsidRPr="001F7915" w:rsidRDefault="000A37C5" w:rsidP="00B16ADC">
                  <w:pPr>
                    <w:autoSpaceDE/>
                    <w:autoSpaceDN/>
                    <w:jc w:val="both"/>
                    <w:rPr>
                      <w:rFonts w:ascii="Arial" w:hAnsi="Arial" w:cs="Arial"/>
                      <w:b/>
                      <w:sz w:val="20"/>
                      <w:szCs w:val="20"/>
                    </w:rPr>
                  </w:pPr>
                  <w:r w:rsidRPr="001F7915">
                    <w:rPr>
                      <w:rFonts w:ascii="Arial" w:hAnsi="Arial" w:cs="Arial"/>
                      <w:b/>
                      <w:sz w:val="20"/>
                      <w:szCs w:val="20"/>
                    </w:rPr>
                    <w:t>T(i-1) - дата окончания (i-1)-</w:t>
                  </w:r>
                  <w:proofErr w:type="gramStart"/>
                  <w:r w:rsidRPr="001F7915">
                    <w:rPr>
                      <w:rFonts w:ascii="Arial" w:hAnsi="Arial" w:cs="Arial"/>
                      <w:b/>
                      <w:sz w:val="20"/>
                      <w:szCs w:val="20"/>
                    </w:rPr>
                    <w:t>ого</w:t>
                  </w:r>
                  <w:proofErr w:type="gramEnd"/>
                  <w:r w:rsidRPr="001F7915">
                    <w:rPr>
                      <w:rFonts w:ascii="Arial" w:hAnsi="Arial" w:cs="Arial"/>
                      <w:b/>
                      <w:sz w:val="20"/>
                      <w:szCs w:val="20"/>
                    </w:rPr>
                    <w:t xml:space="preserve"> купонного периода (для первого купонного периода – дата начала размещения).</w:t>
                  </w:r>
                </w:p>
                <w:p w:rsidR="000A37C5" w:rsidRPr="001F7915" w:rsidRDefault="000A37C5" w:rsidP="00B16ADC">
                  <w:pPr>
                    <w:autoSpaceDE/>
                    <w:autoSpaceDN/>
                    <w:jc w:val="both"/>
                    <w:rPr>
                      <w:rFonts w:ascii="Arial" w:hAnsi="Arial" w:cs="Arial"/>
                      <w:b/>
                      <w:sz w:val="20"/>
                      <w:szCs w:val="20"/>
                    </w:rPr>
                  </w:pPr>
                  <w:proofErr w:type="gramStart"/>
                  <w:r w:rsidRPr="001F7915">
                    <w:rPr>
                      <w:rFonts w:ascii="Arial" w:hAnsi="Arial" w:cs="Arial"/>
                      <w:b/>
                      <w:sz w:val="20"/>
                      <w:szCs w:val="20"/>
                    </w:rPr>
                    <w:t>Сумма выплаты по купонам в расчете на одну Облигацию определяется с точностью до одной копейки (округление производится по правилам математического округления.</w:t>
                  </w:r>
                  <w:proofErr w:type="gramEnd"/>
                  <w:r w:rsidRPr="001F7915">
                    <w:rPr>
                      <w:rFonts w:ascii="Arial" w:hAnsi="Arial" w:cs="Arial"/>
                      <w:b/>
                      <w:sz w:val="20"/>
                      <w:szCs w:val="20"/>
                    </w:rPr>
                    <w:t xml:space="preserve">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первая </w:t>
                  </w:r>
                  <w:proofErr w:type="gramStart"/>
                  <w:r w:rsidRPr="001F7915">
                    <w:rPr>
                      <w:rFonts w:ascii="Arial" w:hAnsi="Arial" w:cs="Arial"/>
                      <w:b/>
                      <w:sz w:val="20"/>
                      <w:szCs w:val="20"/>
                    </w:rPr>
                    <w:t>за</w:t>
                  </w:r>
                  <w:proofErr w:type="gramEnd"/>
                  <w:r w:rsidRPr="001F7915">
                    <w:rPr>
                      <w:rFonts w:ascii="Arial" w:hAnsi="Arial" w:cs="Arial"/>
                      <w:b/>
                      <w:sz w:val="20"/>
                      <w:szCs w:val="20"/>
                    </w:rPr>
                    <w:t xml:space="preserve"> округляемой цифра равна от 0 до 4, и изменяется, увеличиваясь на единицу, если первая за округляемой цифра равна от 5 до 9).</w:t>
                  </w:r>
                </w:p>
                <w:p w:rsidR="000A37C5" w:rsidRPr="001F7915" w:rsidRDefault="000A37C5" w:rsidP="00B16ADC">
                  <w:pPr>
                    <w:autoSpaceDE/>
                    <w:autoSpaceDN/>
                    <w:jc w:val="both"/>
                    <w:rPr>
                      <w:rFonts w:ascii="Arial" w:hAnsi="Arial" w:cs="Arial"/>
                      <w:b/>
                      <w:sz w:val="20"/>
                      <w:szCs w:val="20"/>
                    </w:rPr>
                  </w:pPr>
                  <w:r w:rsidRPr="001F7915">
                    <w:rPr>
                      <w:rFonts w:ascii="Arial" w:hAnsi="Arial" w:cs="Arial"/>
                      <w:b/>
                      <w:sz w:val="20"/>
                      <w:szCs w:val="20"/>
                    </w:rPr>
                    <w:t>Порядок определения размера процента (купона) по облигациям:</w:t>
                  </w:r>
                </w:p>
                <w:p w:rsidR="000A37C5" w:rsidRPr="001F7915" w:rsidRDefault="000A37C5" w:rsidP="00B16ADC">
                  <w:pPr>
                    <w:autoSpaceDE/>
                    <w:autoSpaceDN/>
                    <w:jc w:val="both"/>
                    <w:rPr>
                      <w:rFonts w:ascii="Arial" w:hAnsi="Arial" w:cs="Arial"/>
                      <w:b/>
                      <w:sz w:val="20"/>
                      <w:szCs w:val="20"/>
                    </w:rPr>
                  </w:pPr>
                  <w:proofErr w:type="gramStart"/>
                  <w:r w:rsidRPr="001F7915">
                    <w:rPr>
                      <w:rFonts w:ascii="Arial" w:hAnsi="Arial" w:cs="Arial"/>
                      <w:b/>
                      <w:sz w:val="20"/>
                      <w:szCs w:val="20"/>
                    </w:rPr>
                    <w:t>Процентная ставка по первому купонному периоду определяется в цифровом выражении решением единоличного исполнительного органа Кредитной организации-эмитента – Председателя Правления Кредитной организации-эмитента после государственной регистрации выпуска Облигаций до даты начала размещения Облигаций (при размещении Облигаций путем сбора адресных заявок со стороны покупателей на приобретение Облигаций по фиксированной цене и ставке купона на первый купонный период).</w:t>
                  </w:r>
                  <w:proofErr w:type="gramEnd"/>
                </w:p>
                <w:p w:rsidR="000A37C5" w:rsidRPr="001F7915" w:rsidRDefault="000A37C5" w:rsidP="00B16ADC">
                  <w:pPr>
                    <w:autoSpaceDE/>
                    <w:autoSpaceDN/>
                    <w:jc w:val="both"/>
                    <w:rPr>
                      <w:rFonts w:ascii="Arial" w:hAnsi="Arial" w:cs="Arial"/>
                      <w:b/>
                      <w:sz w:val="20"/>
                      <w:szCs w:val="20"/>
                    </w:rPr>
                  </w:pPr>
                  <w:r w:rsidRPr="001F7915">
                    <w:rPr>
                      <w:rFonts w:ascii="Arial" w:hAnsi="Arial" w:cs="Arial"/>
                      <w:b/>
                      <w:sz w:val="20"/>
                      <w:szCs w:val="20"/>
                    </w:rPr>
                    <w:t>После государственной регистрации выпуска Облигаций и до даты начала размещения Облигаций Кредитная организация-эмитент также может принять решения о процентных ставках или порядке определения размера процентных ставок по купонам, начиная со 2 (Второго) купонного периода по i-</w:t>
                  </w:r>
                  <w:proofErr w:type="spellStart"/>
                  <w:r w:rsidRPr="001F7915">
                    <w:rPr>
                      <w:rFonts w:ascii="Arial" w:hAnsi="Arial" w:cs="Arial"/>
                      <w:b/>
                      <w:sz w:val="20"/>
                      <w:szCs w:val="20"/>
                    </w:rPr>
                    <w:t>ый</w:t>
                  </w:r>
                  <w:proofErr w:type="spellEnd"/>
                  <w:r w:rsidRPr="001F7915">
                    <w:rPr>
                      <w:rFonts w:ascii="Arial" w:hAnsi="Arial" w:cs="Arial"/>
                      <w:b/>
                      <w:sz w:val="20"/>
                      <w:szCs w:val="20"/>
                    </w:rPr>
                    <w:t xml:space="preserve"> купонный период (i=2,…,10).</w:t>
                  </w:r>
                </w:p>
                <w:p w:rsidR="000A37C5" w:rsidRPr="001F7915" w:rsidRDefault="000A37C5" w:rsidP="00B16ADC">
                  <w:pPr>
                    <w:autoSpaceDE/>
                    <w:autoSpaceDN/>
                    <w:jc w:val="both"/>
                    <w:rPr>
                      <w:rFonts w:ascii="Arial" w:hAnsi="Arial" w:cs="Arial"/>
                      <w:b/>
                      <w:sz w:val="20"/>
                      <w:szCs w:val="20"/>
                    </w:rPr>
                  </w:pPr>
                  <w:r w:rsidRPr="001F7915">
                    <w:rPr>
                      <w:rFonts w:ascii="Arial" w:hAnsi="Arial" w:cs="Arial"/>
                      <w:b/>
                      <w:sz w:val="20"/>
                      <w:szCs w:val="20"/>
                    </w:rPr>
                    <w:t xml:space="preserve">Процентные </w:t>
                  </w:r>
                  <w:proofErr w:type="gramStart"/>
                  <w:r w:rsidRPr="001F7915">
                    <w:rPr>
                      <w:rFonts w:ascii="Arial" w:hAnsi="Arial" w:cs="Arial"/>
                      <w:b/>
                      <w:sz w:val="20"/>
                      <w:szCs w:val="20"/>
                    </w:rPr>
                    <w:t>ставки</w:t>
                  </w:r>
                  <w:proofErr w:type="gramEnd"/>
                  <w:r w:rsidRPr="001F7915">
                    <w:rPr>
                      <w:rFonts w:ascii="Arial" w:hAnsi="Arial" w:cs="Arial"/>
                      <w:b/>
                      <w:sz w:val="20"/>
                      <w:szCs w:val="20"/>
                    </w:rPr>
                    <w:t xml:space="preserve"> по купонным периодам начиная со второго определяются в порядке, установленном в Решение о выпуске ценных бумаг.</w:t>
                  </w:r>
                </w:p>
                <w:p w:rsidR="000A37C5" w:rsidRPr="001F7915" w:rsidRDefault="000A37C5" w:rsidP="00B16ADC">
                  <w:pPr>
                    <w:autoSpaceDE/>
                    <w:autoSpaceDN/>
                    <w:jc w:val="both"/>
                    <w:rPr>
                      <w:rFonts w:ascii="Arial" w:hAnsi="Arial" w:cs="Arial"/>
                      <w:b/>
                      <w:sz w:val="20"/>
                      <w:szCs w:val="20"/>
                    </w:rPr>
                  </w:pPr>
                  <w:r w:rsidRPr="001F7915">
                    <w:rPr>
                      <w:rFonts w:ascii="Arial" w:hAnsi="Arial" w:cs="Arial"/>
                      <w:b/>
                      <w:sz w:val="20"/>
                      <w:szCs w:val="20"/>
                    </w:rPr>
                    <w:t>Иные условия выпуска</w:t>
                  </w:r>
                </w:p>
                <w:p w:rsidR="000A37C5" w:rsidRPr="001F7915" w:rsidRDefault="000A37C5" w:rsidP="00B16ADC">
                  <w:pPr>
                    <w:autoSpaceDE/>
                    <w:autoSpaceDN/>
                    <w:jc w:val="both"/>
                    <w:rPr>
                      <w:rFonts w:ascii="Arial" w:hAnsi="Arial" w:cs="Arial"/>
                      <w:b/>
                      <w:sz w:val="20"/>
                      <w:szCs w:val="20"/>
                    </w:rPr>
                  </w:pPr>
                  <w:r w:rsidRPr="001F7915">
                    <w:rPr>
                      <w:rFonts w:ascii="Arial" w:hAnsi="Arial" w:cs="Arial"/>
                      <w:b/>
                      <w:sz w:val="20"/>
                      <w:szCs w:val="20"/>
                    </w:rPr>
                    <w:t xml:space="preserve">Расходы, связанные с внесением приходных записей о зачислении размещаемых Облигаций на счета депо их первых владельцев (приобретателей), несут владельцы (приобретатели) </w:t>
                  </w:r>
                  <w:r w:rsidRPr="001F7915">
                    <w:rPr>
                      <w:rFonts w:ascii="Arial" w:hAnsi="Arial" w:cs="Arial"/>
                      <w:b/>
                      <w:sz w:val="20"/>
                      <w:szCs w:val="20"/>
                    </w:rPr>
                    <w:lastRenderedPageBreak/>
                    <w:t>Облигаций.</w:t>
                  </w:r>
                </w:p>
                <w:p w:rsidR="000A37C5" w:rsidRPr="0061761F" w:rsidRDefault="000A37C5" w:rsidP="00B16ADC">
                  <w:pPr>
                    <w:autoSpaceDE/>
                    <w:autoSpaceDN/>
                    <w:jc w:val="both"/>
                    <w:rPr>
                      <w:rFonts w:ascii="Arial" w:hAnsi="Arial" w:cs="Arial"/>
                      <w:b/>
                      <w:sz w:val="20"/>
                      <w:szCs w:val="20"/>
                    </w:rPr>
                  </w:pPr>
                  <w:r w:rsidRPr="001F7915">
                    <w:rPr>
                      <w:rFonts w:ascii="Arial" w:hAnsi="Arial" w:cs="Arial"/>
                      <w:b/>
                      <w:sz w:val="20"/>
                      <w:szCs w:val="20"/>
                    </w:rPr>
                    <w:t>Исполнение обязательств по Облигациям обеспечивается залогом ипотечного покрытия, сведения о котором приводятся в решении о выпуске Облигаций. Залогодателем является Банк.</w:t>
                  </w:r>
                </w:p>
              </w:tc>
            </w:tr>
            <w:tr w:rsidR="000A37C5" w:rsidRPr="0061761F" w:rsidTr="00B16ADC">
              <w:trPr>
                <w:jc w:val="center"/>
              </w:trPr>
              <w:tc>
                <w:tcPr>
                  <w:tcW w:w="9854" w:type="dxa"/>
                  <w:tcBorders>
                    <w:left w:val="single" w:sz="4" w:space="0" w:color="auto"/>
                    <w:right w:val="single" w:sz="4" w:space="0" w:color="auto"/>
                  </w:tcBorders>
                  <w:vAlign w:val="bottom"/>
                </w:tcPr>
                <w:p w:rsidR="000A37C5" w:rsidRPr="0061761F" w:rsidRDefault="000A37C5" w:rsidP="00B16ADC">
                  <w:pPr>
                    <w:pStyle w:val="a3"/>
                    <w:jc w:val="both"/>
                    <w:rPr>
                      <w:rFonts w:ascii="Arial" w:hAnsi="Arial" w:cs="Arial"/>
                      <w:b/>
                      <w:snapToGrid w:val="0"/>
                      <w:color w:val="000000"/>
                      <w:sz w:val="20"/>
                      <w:szCs w:val="20"/>
                    </w:rPr>
                  </w:pPr>
                  <w:r w:rsidRPr="0061761F">
                    <w:rPr>
                      <w:rFonts w:ascii="Arial" w:hAnsi="Arial" w:cs="Arial"/>
                      <w:snapToGrid w:val="0"/>
                      <w:color w:val="000000"/>
                      <w:sz w:val="20"/>
                      <w:szCs w:val="20"/>
                    </w:rPr>
                    <w:lastRenderedPageBreak/>
                    <w:t>2.7. Предоставление участникам (акционерам) эмитента и (или) иным лицам преимущественного права приобретения ценных бумаг:</w:t>
                  </w:r>
                  <w:r w:rsidRPr="0061761F">
                    <w:rPr>
                      <w:rFonts w:ascii="Arial" w:hAnsi="Arial" w:cs="Arial"/>
                      <w:sz w:val="20"/>
                      <w:szCs w:val="20"/>
                    </w:rPr>
                    <w:t xml:space="preserve"> </w:t>
                  </w:r>
                  <w:r w:rsidRPr="0061761F">
                    <w:rPr>
                      <w:rFonts w:ascii="Arial" w:hAnsi="Arial" w:cs="Arial"/>
                      <w:b/>
                      <w:snapToGrid w:val="0"/>
                      <w:color w:val="000000"/>
                      <w:sz w:val="20"/>
                      <w:szCs w:val="20"/>
                    </w:rPr>
                    <w:t>Преимущественное право приобретения ценных бумаг не предусмотрено.</w:t>
                  </w:r>
                </w:p>
              </w:tc>
            </w:tr>
            <w:tr w:rsidR="000A37C5" w:rsidRPr="0061761F" w:rsidTr="00B16ADC">
              <w:trPr>
                <w:jc w:val="center"/>
              </w:trPr>
              <w:tc>
                <w:tcPr>
                  <w:tcW w:w="9854" w:type="dxa"/>
                  <w:tcBorders>
                    <w:left w:val="single" w:sz="4" w:space="0" w:color="auto"/>
                    <w:right w:val="single" w:sz="4" w:space="0" w:color="auto"/>
                  </w:tcBorders>
                  <w:vAlign w:val="bottom"/>
                </w:tcPr>
                <w:p w:rsidR="000A37C5" w:rsidRPr="0061761F" w:rsidRDefault="000A37C5" w:rsidP="00B16ADC">
                  <w:pPr>
                    <w:adjustRightInd w:val="0"/>
                    <w:jc w:val="both"/>
                    <w:rPr>
                      <w:rFonts w:ascii="Arial" w:hAnsi="Arial" w:cs="Arial"/>
                      <w:snapToGrid w:val="0"/>
                      <w:color w:val="000000"/>
                      <w:sz w:val="20"/>
                      <w:szCs w:val="20"/>
                    </w:rPr>
                  </w:pPr>
                  <w:r w:rsidRPr="0061761F">
                    <w:rPr>
                      <w:rFonts w:ascii="Arial" w:hAnsi="Arial" w:cs="Arial"/>
                      <w:snapToGrid w:val="0"/>
                      <w:color w:val="000000"/>
                      <w:sz w:val="20"/>
                      <w:szCs w:val="20"/>
                    </w:rPr>
                    <w:t xml:space="preserve">2.8. </w:t>
                  </w:r>
                  <w:proofErr w:type="gramStart"/>
                  <w:r w:rsidRPr="0061761F">
                    <w:rPr>
                      <w:rFonts w:ascii="Arial" w:hAnsi="Arial" w:cs="Arial"/>
                      <w:snapToGrid w:val="0"/>
                      <w:color w:val="000000"/>
                      <w:sz w:val="20"/>
                      <w:szCs w:val="20"/>
                    </w:rPr>
                    <w:t>В случае если выпуск (дополнительный выпуск) ценных бумаг подлежит государственной регистрации и ценные бумаги, допущенные (допускаемые) к организованным торгам, размещаются путем открытой подписки с их оплатой деньгами или ценными бумагами, допущенными к организованным торгам, сведения о намерении эмитента представить в регистрирующий орган после завершения размещения ценных бумаг отчет об итогах выпуска (дополнительного выпуска) ценных бумаг или уведомление об итогах выпуска</w:t>
                  </w:r>
                  <w:proofErr w:type="gramEnd"/>
                  <w:r w:rsidRPr="0061761F">
                    <w:rPr>
                      <w:rFonts w:ascii="Arial" w:hAnsi="Arial" w:cs="Arial"/>
                      <w:snapToGrid w:val="0"/>
                      <w:color w:val="000000"/>
                      <w:sz w:val="20"/>
                      <w:szCs w:val="20"/>
                    </w:rPr>
                    <w:t xml:space="preserve"> (дополнительного выпуска) ценных бумаг:</w:t>
                  </w:r>
                </w:p>
                <w:p w:rsidR="000A37C5" w:rsidRPr="0061761F" w:rsidRDefault="000A37C5" w:rsidP="00B16ADC">
                  <w:pPr>
                    <w:adjustRightInd w:val="0"/>
                    <w:jc w:val="both"/>
                    <w:rPr>
                      <w:rFonts w:ascii="Arial" w:hAnsi="Arial" w:cs="Arial"/>
                      <w:b/>
                      <w:sz w:val="20"/>
                      <w:szCs w:val="20"/>
                    </w:rPr>
                  </w:pPr>
                  <w:r w:rsidRPr="0061761F">
                    <w:rPr>
                      <w:rFonts w:ascii="Arial" w:hAnsi="Arial" w:cs="Arial"/>
                      <w:b/>
                      <w:sz w:val="20"/>
                      <w:szCs w:val="20"/>
                    </w:rPr>
                    <w:t xml:space="preserve">АО «КБ ДельтаКредит» намеревается представить в регистрирующий орган отчет об итогах выпуска ценных бумаг, а при соблюдении условий, указанных в статье 25 Федерального закона «О рынке ценных бумаг» вместо отчета об итогах выпуска ценных бумаг вправе представить уведомление об итогах выпуска ценных бумаг. </w:t>
                  </w:r>
                </w:p>
                <w:p w:rsidR="000A37C5" w:rsidRPr="0061761F" w:rsidRDefault="000A37C5" w:rsidP="00B16ADC">
                  <w:pPr>
                    <w:adjustRightInd w:val="0"/>
                    <w:jc w:val="both"/>
                    <w:rPr>
                      <w:rFonts w:ascii="Arial" w:hAnsi="Arial" w:cs="Arial"/>
                      <w:b/>
                      <w:sz w:val="20"/>
                      <w:szCs w:val="20"/>
                    </w:rPr>
                  </w:pPr>
                  <w:r w:rsidRPr="0061761F">
                    <w:rPr>
                      <w:rFonts w:ascii="Arial" w:hAnsi="Arial" w:cs="Arial"/>
                      <w:b/>
                      <w:sz w:val="20"/>
                      <w:szCs w:val="20"/>
                    </w:rPr>
                    <w:t xml:space="preserve">АО «КБ ДельтаКредит»  обязан раскрыть информацию о намерении представить </w:t>
                  </w:r>
                  <w:proofErr w:type="gramStart"/>
                  <w:r w:rsidRPr="0061761F">
                    <w:rPr>
                      <w:rFonts w:ascii="Arial" w:hAnsi="Arial" w:cs="Arial"/>
                      <w:b/>
                      <w:sz w:val="20"/>
                      <w:szCs w:val="20"/>
                    </w:rPr>
                    <w:t>уведомление</w:t>
                  </w:r>
                  <w:proofErr w:type="gramEnd"/>
                  <w:r w:rsidRPr="0061761F">
                    <w:rPr>
                      <w:rFonts w:ascii="Arial" w:hAnsi="Arial" w:cs="Arial"/>
                      <w:b/>
                      <w:sz w:val="20"/>
                      <w:szCs w:val="20"/>
                    </w:rPr>
                    <w:t xml:space="preserve"> об итогах выпуска ценных бумаг до начала их размещения.</w:t>
                  </w:r>
                </w:p>
              </w:tc>
            </w:tr>
            <w:tr w:rsidR="000A37C5" w:rsidRPr="0061761F" w:rsidTr="00B16ADC">
              <w:trPr>
                <w:jc w:val="center"/>
              </w:trPr>
              <w:tc>
                <w:tcPr>
                  <w:tcW w:w="9854" w:type="dxa"/>
                  <w:tcBorders>
                    <w:left w:val="single" w:sz="4" w:space="0" w:color="auto"/>
                    <w:right w:val="single" w:sz="4" w:space="0" w:color="auto"/>
                  </w:tcBorders>
                  <w:vAlign w:val="bottom"/>
                </w:tcPr>
                <w:p w:rsidR="000A37C5" w:rsidRPr="0061761F" w:rsidRDefault="000A37C5" w:rsidP="00B16ADC">
                  <w:pPr>
                    <w:jc w:val="both"/>
                    <w:rPr>
                      <w:rFonts w:ascii="Arial" w:hAnsi="Arial" w:cs="Arial"/>
                      <w:bCs/>
                      <w:sz w:val="20"/>
                      <w:szCs w:val="20"/>
                    </w:rPr>
                  </w:pPr>
                  <w:r w:rsidRPr="0061761F">
                    <w:rPr>
                      <w:rFonts w:ascii="Arial" w:hAnsi="Arial" w:cs="Arial"/>
                      <w:bCs/>
                      <w:sz w:val="20"/>
                      <w:szCs w:val="20"/>
                    </w:rPr>
                    <w:t xml:space="preserve">2.9. В случае если в ходе эмиссии ценных бумаг предполагается регистрация (представление бирже) проспекта ценных бумаг, сведения об указанном обстоятельстве: </w:t>
                  </w:r>
                  <w:r w:rsidRPr="0061761F">
                    <w:rPr>
                      <w:rFonts w:ascii="Arial" w:hAnsi="Arial" w:cs="Arial"/>
                      <w:b/>
                      <w:bCs/>
                      <w:sz w:val="20"/>
                      <w:szCs w:val="20"/>
                    </w:rPr>
                    <w:t>регистрация выпуска сопровождается регистрацией Проспекта ценных бумаг; АО «КБ ДельтаКредит» раскрывает информацию в соответствии с законодательством Российской Федерации.</w:t>
                  </w:r>
                </w:p>
              </w:tc>
            </w:tr>
          </w:tbl>
          <w:p w:rsidR="00AA025E" w:rsidRPr="003B3EC6" w:rsidRDefault="00AA025E" w:rsidP="00AA025E">
            <w:pPr>
              <w:rPr>
                <w:rFonts w:ascii="Arial" w:hAnsi="Arial" w:cs="Arial"/>
                <w:sz w:val="20"/>
                <w:szCs w:val="20"/>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781"/>
            </w:tblGrid>
            <w:tr w:rsidR="00AA025E" w:rsidRPr="003B3EC6" w:rsidTr="004E5FCE">
              <w:trPr>
                <w:cantSplit/>
              </w:trPr>
              <w:tc>
                <w:tcPr>
                  <w:tcW w:w="9781" w:type="dxa"/>
                </w:tcPr>
                <w:p w:rsidR="00AA025E" w:rsidRPr="003B3EC6" w:rsidRDefault="00AA025E" w:rsidP="004E5FCE">
                  <w:pPr>
                    <w:jc w:val="center"/>
                    <w:rPr>
                      <w:rFonts w:ascii="Arial" w:hAnsi="Arial" w:cs="Arial"/>
                      <w:sz w:val="20"/>
                      <w:szCs w:val="20"/>
                    </w:rPr>
                  </w:pPr>
                  <w:r w:rsidRPr="003B3EC6">
                    <w:rPr>
                      <w:rFonts w:ascii="Arial" w:hAnsi="Arial" w:cs="Arial"/>
                      <w:sz w:val="20"/>
                      <w:szCs w:val="20"/>
                    </w:rPr>
                    <w:t>3. Подпись</w:t>
                  </w:r>
                </w:p>
              </w:tc>
            </w:tr>
            <w:tr w:rsidR="00AA025E" w:rsidRPr="003B3EC6" w:rsidTr="004E5FCE">
              <w:trPr>
                <w:cantSplit/>
              </w:trPr>
              <w:tc>
                <w:tcPr>
                  <w:tcW w:w="9781" w:type="dxa"/>
                </w:tcPr>
                <w:tbl>
                  <w:tblPr>
                    <w:tblW w:w="0" w:type="auto"/>
                    <w:tblCellMar>
                      <w:left w:w="28" w:type="dxa"/>
                      <w:right w:w="28" w:type="dxa"/>
                    </w:tblCellMar>
                    <w:tblLook w:val="0000" w:firstRow="0" w:lastRow="0" w:firstColumn="0" w:lastColumn="0" w:noHBand="0" w:noVBand="0"/>
                  </w:tblPr>
                  <w:tblGrid>
                    <w:gridCol w:w="4205"/>
                    <w:gridCol w:w="1905"/>
                    <w:gridCol w:w="791"/>
                    <w:gridCol w:w="2683"/>
                    <w:gridCol w:w="136"/>
                  </w:tblGrid>
                  <w:tr w:rsidR="00AA025E" w:rsidRPr="003B3EC6" w:rsidTr="004E5FCE">
                    <w:trPr>
                      <w:cantSplit/>
                    </w:trPr>
                    <w:tc>
                      <w:tcPr>
                        <w:tcW w:w="4423" w:type="dxa"/>
                        <w:tcBorders>
                          <w:top w:val="single" w:sz="4" w:space="0" w:color="auto"/>
                          <w:bottom w:val="nil"/>
                          <w:right w:val="nil"/>
                        </w:tcBorders>
                        <w:vAlign w:val="bottom"/>
                      </w:tcPr>
                      <w:p w:rsidR="00AA025E" w:rsidRPr="003B3EC6" w:rsidRDefault="00AA025E" w:rsidP="004E5FCE">
                        <w:pPr>
                          <w:ind w:left="57"/>
                          <w:rPr>
                            <w:rFonts w:ascii="Arial" w:hAnsi="Arial" w:cs="Arial"/>
                            <w:sz w:val="20"/>
                            <w:szCs w:val="20"/>
                          </w:rPr>
                        </w:pPr>
                        <w:r w:rsidRPr="003B3EC6">
                          <w:rPr>
                            <w:rFonts w:ascii="Arial" w:hAnsi="Arial" w:cs="Arial"/>
                            <w:sz w:val="20"/>
                            <w:szCs w:val="20"/>
                          </w:rPr>
                          <w:t>3.1.</w:t>
                        </w:r>
                        <w:r w:rsidR="005114F6" w:rsidRPr="003B3EC6">
                          <w:rPr>
                            <w:rFonts w:ascii="Arial" w:hAnsi="Arial" w:cs="Arial"/>
                            <w:sz w:val="20"/>
                            <w:szCs w:val="20"/>
                          </w:rPr>
                          <w:t>И.о.</w:t>
                        </w:r>
                        <w:r w:rsidRPr="003B3EC6">
                          <w:rPr>
                            <w:rFonts w:ascii="Arial" w:hAnsi="Arial" w:cs="Arial"/>
                            <w:sz w:val="20"/>
                            <w:szCs w:val="20"/>
                          </w:rPr>
                          <w:t xml:space="preserve"> Председател</w:t>
                        </w:r>
                        <w:r w:rsidR="005114F6" w:rsidRPr="003B3EC6">
                          <w:rPr>
                            <w:rFonts w:ascii="Arial" w:hAnsi="Arial" w:cs="Arial"/>
                            <w:sz w:val="20"/>
                            <w:szCs w:val="20"/>
                          </w:rPr>
                          <w:t>я</w:t>
                        </w:r>
                        <w:r w:rsidRPr="003B3EC6">
                          <w:rPr>
                            <w:rFonts w:ascii="Arial" w:hAnsi="Arial" w:cs="Arial"/>
                            <w:sz w:val="20"/>
                            <w:szCs w:val="20"/>
                          </w:rPr>
                          <w:t xml:space="preserve"> Правления                                 АО «КБ ДельтаКредит»</w:t>
                        </w:r>
                      </w:p>
                      <w:p w:rsidR="00AA025E" w:rsidRPr="003B3EC6" w:rsidRDefault="00AA025E" w:rsidP="004E5FCE">
                        <w:pPr>
                          <w:ind w:left="57"/>
                          <w:rPr>
                            <w:rFonts w:ascii="Arial" w:hAnsi="Arial" w:cs="Arial"/>
                            <w:sz w:val="20"/>
                            <w:szCs w:val="20"/>
                            <w:highlight w:val="yellow"/>
                          </w:rPr>
                        </w:pPr>
                      </w:p>
                    </w:tc>
                    <w:tc>
                      <w:tcPr>
                        <w:tcW w:w="1984" w:type="dxa"/>
                        <w:tcBorders>
                          <w:top w:val="single" w:sz="4" w:space="0" w:color="auto"/>
                          <w:left w:val="nil"/>
                          <w:bottom w:val="single" w:sz="4" w:space="0" w:color="auto"/>
                          <w:right w:val="nil"/>
                        </w:tcBorders>
                        <w:vAlign w:val="bottom"/>
                      </w:tcPr>
                      <w:p w:rsidR="00AA025E" w:rsidRPr="003B3EC6" w:rsidRDefault="00AA025E" w:rsidP="004E5FCE">
                        <w:pPr>
                          <w:jc w:val="center"/>
                          <w:rPr>
                            <w:rFonts w:ascii="Arial" w:hAnsi="Arial" w:cs="Arial"/>
                            <w:sz w:val="20"/>
                            <w:szCs w:val="20"/>
                            <w:highlight w:val="yellow"/>
                          </w:rPr>
                        </w:pPr>
                      </w:p>
                    </w:tc>
                    <w:tc>
                      <w:tcPr>
                        <w:tcW w:w="851" w:type="dxa"/>
                        <w:tcBorders>
                          <w:top w:val="single" w:sz="4" w:space="0" w:color="auto"/>
                          <w:left w:val="nil"/>
                          <w:bottom w:val="nil"/>
                          <w:right w:val="nil"/>
                        </w:tcBorders>
                        <w:vAlign w:val="bottom"/>
                      </w:tcPr>
                      <w:p w:rsidR="00AA025E" w:rsidRPr="003B3EC6" w:rsidRDefault="00AA025E" w:rsidP="004E5FCE">
                        <w:pPr>
                          <w:rPr>
                            <w:rFonts w:ascii="Arial" w:hAnsi="Arial" w:cs="Arial"/>
                            <w:sz w:val="20"/>
                            <w:szCs w:val="20"/>
                            <w:highlight w:val="yellow"/>
                          </w:rPr>
                        </w:pPr>
                      </w:p>
                    </w:tc>
                    <w:tc>
                      <w:tcPr>
                        <w:tcW w:w="2835" w:type="dxa"/>
                        <w:tcBorders>
                          <w:top w:val="single" w:sz="4" w:space="0" w:color="auto"/>
                          <w:left w:val="nil"/>
                          <w:bottom w:val="nil"/>
                          <w:right w:val="nil"/>
                        </w:tcBorders>
                        <w:vAlign w:val="bottom"/>
                      </w:tcPr>
                      <w:p w:rsidR="00AA025E" w:rsidRPr="003B3EC6" w:rsidRDefault="005114F6" w:rsidP="004E5FCE">
                        <w:pPr>
                          <w:jc w:val="center"/>
                          <w:rPr>
                            <w:rFonts w:ascii="Arial" w:hAnsi="Arial" w:cs="Arial"/>
                            <w:sz w:val="20"/>
                            <w:szCs w:val="20"/>
                          </w:rPr>
                        </w:pPr>
                        <w:r w:rsidRPr="003B3EC6">
                          <w:rPr>
                            <w:rFonts w:ascii="Arial" w:hAnsi="Arial" w:cs="Arial"/>
                            <w:sz w:val="20"/>
                            <w:szCs w:val="20"/>
                          </w:rPr>
                          <w:t>Ковалев Д.П.</w:t>
                        </w:r>
                      </w:p>
                    </w:tc>
                    <w:tc>
                      <w:tcPr>
                        <w:tcW w:w="142" w:type="dxa"/>
                        <w:tcBorders>
                          <w:top w:val="single" w:sz="4" w:space="0" w:color="auto"/>
                          <w:left w:val="nil"/>
                          <w:bottom w:val="nil"/>
                          <w:right w:val="single" w:sz="4" w:space="0" w:color="auto"/>
                        </w:tcBorders>
                        <w:vAlign w:val="bottom"/>
                      </w:tcPr>
                      <w:p w:rsidR="00AA025E" w:rsidRPr="003B3EC6" w:rsidRDefault="00AA025E" w:rsidP="004E5FCE">
                        <w:pPr>
                          <w:rPr>
                            <w:rFonts w:ascii="Arial" w:hAnsi="Arial" w:cs="Arial"/>
                            <w:sz w:val="20"/>
                            <w:szCs w:val="20"/>
                          </w:rPr>
                        </w:pPr>
                      </w:p>
                    </w:tc>
                  </w:tr>
                  <w:tr w:rsidR="00AA025E" w:rsidRPr="003B3EC6" w:rsidTr="004E5FCE">
                    <w:trPr>
                      <w:cantSplit/>
                      <w:trHeight w:hRule="exact" w:val="280"/>
                    </w:trPr>
                    <w:tc>
                      <w:tcPr>
                        <w:tcW w:w="4423" w:type="dxa"/>
                        <w:tcBorders>
                          <w:top w:val="nil"/>
                          <w:bottom w:val="nil"/>
                          <w:right w:val="nil"/>
                        </w:tcBorders>
                      </w:tcPr>
                      <w:p w:rsidR="00AA025E" w:rsidRPr="003B3EC6" w:rsidRDefault="00AA025E" w:rsidP="004E5FCE">
                        <w:pPr>
                          <w:ind w:left="57"/>
                          <w:rPr>
                            <w:rFonts w:ascii="Arial" w:hAnsi="Arial" w:cs="Arial"/>
                            <w:sz w:val="20"/>
                            <w:szCs w:val="20"/>
                          </w:rPr>
                        </w:pPr>
                      </w:p>
                    </w:tc>
                    <w:tc>
                      <w:tcPr>
                        <w:tcW w:w="1984" w:type="dxa"/>
                        <w:tcBorders>
                          <w:top w:val="nil"/>
                          <w:left w:val="nil"/>
                          <w:bottom w:val="nil"/>
                          <w:right w:val="nil"/>
                        </w:tcBorders>
                      </w:tcPr>
                      <w:p w:rsidR="00AA025E" w:rsidRPr="003B3EC6" w:rsidRDefault="00AA025E" w:rsidP="004E5FCE">
                        <w:pPr>
                          <w:jc w:val="center"/>
                          <w:rPr>
                            <w:rFonts w:ascii="Arial" w:hAnsi="Arial" w:cs="Arial"/>
                            <w:sz w:val="20"/>
                            <w:szCs w:val="20"/>
                          </w:rPr>
                        </w:pPr>
                        <w:r w:rsidRPr="003B3EC6">
                          <w:rPr>
                            <w:rFonts w:ascii="Arial" w:hAnsi="Arial" w:cs="Arial"/>
                            <w:sz w:val="20"/>
                            <w:szCs w:val="20"/>
                          </w:rPr>
                          <w:t>(подпись)</w:t>
                        </w:r>
                      </w:p>
                    </w:tc>
                    <w:tc>
                      <w:tcPr>
                        <w:tcW w:w="851" w:type="dxa"/>
                        <w:tcBorders>
                          <w:top w:val="nil"/>
                          <w:left w:val="nil"/>
                          <w:bottom w:val="nil"/>
                          <w:right w:val="nil"/>
                        </w:tcBorders>
                      </w:tcPr>
                      <w:p w:rsidR="00AA025E" w:rsidRPr="003B3EC6" w:rsidRDefault="00AA025E" w:rsidP="004E5FCE">
                        <w:pPr>
                          <w:rPr>
                            <w:rFonts w:ascii="Arial" w:hAnsi="Arial" w:cs="Arial"/>
                            <w:sz w:val="20"/>
                            <w:szCs w:val="20"/>
                          </w:rPr>
                        </w:pPr>
                      </w:p>
                    </w:tc>
                    <w:tc>
                      <w:tcPr>
                        <w:tcW w:w="2835" w:type="dxa"/>
                        <w:tcBorders>
                          <w:top w:val="nil"/>
                          <w:left w:val="nil"/>
                          <w:bottom w:val="nil"/>
                          <w:right w:val="nil"/>
                        </w:tcBorders>
                      </w:tcPr>
                      <w:p w:rsidR="00AA025E" w:rsidRPr="003B3EC6" w:rsidRDefault="00AA025E" w:rsidP="004E5FCE">
                        <w:pPr>
                          <w:rPr>
                            <w:rFonts w:ascii="Arial" w:hAnsi="Arial" w:cs="Arial"/>
                            <w:sz w:val="20"/>
                            <w:szCs w:val="20"/>
                          </w:rPr>
                        </w:pPr>
                      </w:p>
                    </w:tc>
                    <w:tc>
                      <w:tcPr>
                        <w:tcW w:w="142" w:type="dxa"/>
                        <w:tcBorders>
                          <w:top w:val="nil"/>
                          <w:left w:val="nil"/>
                          <w:bottom w:val="nil"/>
                          <w:right w:val="single" w:sz="4" w:space="0" w:color="auto"/>
                        </w:tcBorders>
                      </w:tcPr>
                      <w:p w:rsidR="00AA025E" w:rsidRPr="003B3EC6" w:rsidRDefault="00AA025E" w:rsidP="004E5FCE">
                        <w:pPr>
                          <w:rPr>
                            <w:rFonts w:ascii="Arial" w:hAnsi="Arial" w:cs="Arial"/>
                            <w:sz w:val="20"/>
                            <w:szCs w:val="20"/>
                          </w:rPr>
                        </w:pPr>
                      </w:p>
                    </w:tc>
                  </w:tr>
                  <w:tr w:rsidR="00AA025E" w:rsidRPr="003B3EC6" w:rsidTr="004E5FCE">
                    <w:trPr>
                      <w:cantSplit/>
                    </w:trPr>
                    <w:tc>
                      <w:tcPr>
                        <w:tcW w:w="4423" w:type="dxa"/>
                        <w:tcBorders>
                          <w:top w:val="nil"/>
                          <w:bottom w:val="nil"/>
                          <w:right w:val="nil"/>
                        </w:tcBorders>
                        <w:vAlign w:val="bottom"/>
                      </w:tcPr>
                      <w:p w:rsidR="00AA025E" w:rsidRPr="003B3EC6" w:rsidRDefault="00AA025E" w:rsidP="000A37C5">
                        <w:pPr>
                          <w:ind w:left="57"/>
                          <w:rPr>
                            <w:rFonts w:ascii="Arial" w:hAnsi="Arial" w:cs="Arial"/>
                            <w:sz w:val="20"/>
                            <w:szCs w:val="20"/>
                            <w:highlight w:val="yellow"/>
                          </w:rPr>
                        </w:pPr>
                        <w:r w:rsidRPr="003B3EC6">
                          <w:rPr>
                            <w:rFonts w:ascii="Arial" w:hAnsi="Arial" w:cs="Arial"/>
                            <w:sz w:val="20"/>
                            <w:szCs w:val="20"/>
                          </w:rPr>
                          <w:t>3.2. Дата «</w:t>
                        </w:r>
                        <w:r w:rsidR="000A37C5">
                          <w:rPr>
                            <w:rFonts w:ascii="Arial" w:hAnsi="Arial" w:cs="Arial"/>
                            <w:sz w:val="20"/>
                            <w:szCs w:val="20"/>
                          </w:rPr>
                          <w:t>30</w:t>
                        </w:r>
                        <w:r w:rsidRPr="003B3EC6">
                          <w:rPr>
                            <w:rFonts w:ascii="Arial" w:hAnsi="Arial" w:cs="Arial"/>
                            <w:color w:val="000000"/>
                            <w:sz w:val="20"/>
                            <w:szCs w:val="20"/>
                          </w:rPr>
                          <w:t xml:space="preserve">» </w:t>
                        </w:r>
                        <w:r w:rsidR="000A37C5">
                          <w:rPr>
                            <w:rFonts w:ascii="Arial" w:hAnsi="Arial" w:cs="Arial"/>
                            <w:color w:val="000000"/>
                            <w:sz w:val="20"/>
                            <w:szCs w:val="20"/>
                          </w:rPr>
                          <w:t>сентября</w:t>
                        </w:r>
                        <w:r w:rsidRPr="003B3EC6">
                          <w:rPr>
                            <w:rFonts w:ascii="Arial" w:hAnsi="Arial" w:cs="Arial"/>
                            <w:color w:val="000000"/>
                            <w:sz w:val="20"/>
                            <w:szCs w:val="20"/>
                          </w:rPr>
                          <w:t xml:space="preserve"> </w:t>
                        </w:r>
                        <w:r w:rsidRPr="003B3EC6">
                          <w:rPr>
                            <w:rFonts w:ascii="Arial" w:hAnsi="Arial" w:cs="Arial"/>
                            <w:sz w:val="20"/>
                            <w:szCs w:val="20"/>
                          </w:rPr>
                          <w:t>2016 г.</w:t>
                        </w:r>
                      </w:p>
                    </w:tc>
                    <w:tc>
                      <w:tcPr>
                        <w:tcW w:w="1984" w:type="dxa"/>
                        <w:tcBorders>
                          <w:top w:val="nil"/>
                          <w:left w:val="nil"/>
                          <w:bottom w:val="nil"/>
                          <w:right w:val="nil"/>
                        </w:tcBorders>
                        <w:vAlign w:val="bottom"/>
                      </w:tcPr>
                      <w:p w:rsidR="00AA025E" w:rsidRPr="003B3EC6" w:rsidRDefault="00AA025E" w:rsidP="004E5FCE">
                        <w:pPr>
                          <w:jc w:val="center"/>
                          <w:rPr>
                            <w:rFonts w:ascii="Arial" w:hAnsi="Arial" w:cs="Arial"/>
                            <w:sz w:val="20"/>
                            <w:szCs w:val="20"/>
                            <w:highlight w:val="yellow"/>
                          </w:rPr>
                        </w:pPr>
                        <w:r w:rsidRPr="003B3EC6">
                          <w:rPr>
                            <w:rFonts w:ascii="Arial" w:hAnsi="Arial" w:cs="Arial"/>
                            <w:sz w:val="20"/>
                            <w:szCs w:val="20"/>
                          </w:rPr>
                          <w:t>М.П.</w:t>
                        </w:r>
                      </w:p>
                    </w:tc>
                    <w:tc>
                      <w:tcPr>
                        <w:tcW w:w="3828" w:type="dxa"/>
                        <w:gridSpan w:val="3"/>
                        <w:tcBorders>
                          <w:top w:val="nil"/>
                          <w:left w:val="nil"/>
                          <w:bottom w:val="nil"/>
                          <w:right w:val="single" w:sz="4" w:space="0" w:color="auto"/>
                        </w:tcBorders>
                        <w:vAlign w:val="bottom"/>
                      </w:tcPr>
                      <w:p w:rsidR="00AA025E" w:rsidRPr="003B3EC6" w:rsidRDefault="00AA025E" w:rsidP="004E5FCE">
                        <w:pPr>
                          <w:rPr>
                            <w:rFonts w:ascii="Arial" w:hAnsi="Arial" w:cs="Arial"/>
                            <w:sz w:val="20"/>
                            <w:szCs w:val="20"/>
                          </w:rPr>
                        </w:pPr>
                      </w:p>
                    </w:tc>
                  </w:tr>
                  <w:tr w:rsidR="00AA025E" w:rsidRPr="003B3EC6" w:rsidTr="004E5FCE">
                    <w:trPr>
                      <w:cantSplit/>
                    </w:trPr>
                    <w:tc>
                      <w:tcPr>
                        <w:tcW w:w="4423" w:type="dxa"/>
                        <w:tcBorders>
                          <w:top w:val="nil"/>
                          <w:bottom w:val="single" w:sz="4" w:space="0" w:color="auto"/>
                          <w:right w:val="nil"/>
                        </w:tcBorders>
                      </w:tcPr>
                      <w:p w:rsidR="00AA025E" w:rsidRPr="003B3EC6" w:rsidRDefault="00AA025E" w:rsidP="004E5FCE">
                        <w:pPr>
                          <w:ind w:left="57"/>
                          <w:rPr>
                            <w:rFonts w:ascii="Arial" w:hAnsi="Arial" w:cs="Arial"/>
                            <w:sz w:val="20"/>
                            <w:szCs w:val="20"/>
                          </w:rPr>
                        </w:pPr>
                      </w:p>
                    </w:tc>
                    <w:tc>
                      <w:tcPr>
                        <w:tcW w:w="1984" w:type="dxa"/>
                        <w:tcBorders>
                          <w:top w:val="nil"/>
                          <w:left w:val="nil"/>
                          <w:bottom w:val="single" w:sz="4" w:space="0" w:color="auto"/>
                          <w:right w:val="nil"/>
                        </w:tcBorders>
                      </w:tcPr>
                      <w:p w:rsidR="00AA025E" w:rsidRPr="003B3EC6" w:rsidRDefault="00AA025E" w:rsidP="004E5FCE">
                        <w:pPr>
                          <w:jc w:val="center"/>
                          <w:rPr>
                            <w:rFonts w:ascii="Arial" w:hAnsi="Arial" w:cs="Arial"/>
                            <w:sz w:val="20"/>
                            <w:szCs w:val="20"/>
                          </w:rPr>
                        </w:pPr>
                      </w:p>
                    </w:tc>
                    <w:tc>
                      <w:tcPr>
                        <w:tcW w:w="3828" w:type="dxa"/>
                        <w:gridSpan w:val="3"/>
                        <w:tcBorders>
                          <w:top w:val="nil"/>
                          <w:left w:val="nil"/>
                          <w:bottom w:val="single" w:sz="4" w:space="0" w:color="auto"/>
                          <w:right w:val="single" w:sz="4" w:space="0" w:color="auto"/>
                        </w:tcBorders>
                      </w:tcPr>
                      <w:p w:rsidR="00AA025E" w:rsidRPr="003B3EC6" w:rsidRDefault="00AA025E" w:rsidP="004E5FCE">
                        <w:pPr>
                          <w:rPr>
                            <w:rFonts w:ascii="Arial" w:hAnsi="Arial" w:cs="Arial"/>
                            <w:sz w:val="20"/>
                            <w:szCs w:val="20"/>
                          </w:rPr>
                        </w:pPr>
                      </w:p>
                    </w:tc>
                  </w:tr>
                </w:tbl>
                <w:p w:rsidR="00AA025E" w:rsidRPr="003B3EC6" w:rsidRDefault="00AA025E" w:rsidP="004E5FCE">
                  <w:pPr>
                    <w:jc w:val="center"/>
                    <w:rPr>
                      <w:rFonts w:ascii="Arial" w:hAnsi="Arial" w:cs="Arial"/>
                      <w:sz w:val="20"/>
                      <w:szCs w:val="20"/>
                    </w:rPr>
                  </w:pPr>
                </w:p>
              </w:tc>
            </w:tr>
          </w:tbl>
          <w:p w:rsidR="00AA025E" w:rsidRPr="003B3EC6" w:rsidRDefault="00AA025E" w:rsidP="00AA025E">
            <w:pPr>
              <w:rPr>
                <w:rFonts w:ascii="Arial" w:hAnsi="Arial" w:cs="Arial"/>
                <w:b/>
                <w:snapToGrid w:val="0"/>
                <w:color w:val="000000"/>
                <w:sz w:val="20"/>
                <w:szCs w:val="20"/>
              </w:rPr>
            </w:pPr>
          </w:p>
        </w:tc>
      </w:tr>
    </w:tbl>
    <w:p w:rsidR="00AA025E" w:rsidRPr="003B3EC6" w:rsidRDefault="00AA025E" w:rsidP="001B469A">
      <w:pPr>
        <w:jc w:val="center"/>
        <w:rPr>
          <w:rFonts w:ascii="Arial" w:hAnsi="Arial" w:cs="Arial"/>
          <w:b/>
          <w:snapToGrid w:val="0"/>
          <w:color w:val="000000"/>
          <w:sz w:val="20"/>
          <w:szCs w:val="20"/>
        </w:rPr>
      </w:pPr>
    </w:p>
    <w:tbl>
      <w:tblPr>
        <w:tblW w:w="1006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065"/>
      </w:tblGrid>
      <w:tr w:rsidR="00525722" w:rsidRPr="003B3EC6" w:rsidTr="00FE6713">
        <w:trPr>
          <w:cantSplit/>
        </w:trPr>
        <w:tc>
          <w:tcPr>
            <w:tcW w:w="10065" w:type="dxa"/>
          </w:tcPr>
          <w:p w:rsidR="00525722" w:rsidRPr="003B3EC6" w:rsidRDefault="00525722" w:rsidP="00AB1220">
            <w:pPr>
              <w:jc w:val="center"/>
              <w:rPr>
                <w:rFonts w:ascii="Arial" w:hAnsi="Arial" w:cs="Arial"/>
                <w:sz w:val="20"/>
                <w:szCs w:val="20"/>
              </w:rPr>
            </w:pPr>
            <w:r w:rsidRPr="003B3EC6">
              <w:rPr>
                <w:rFonts w:ascii="Arial" w:hAnsi="Arial" w:cs="Arial"/>
                <w:sz w:val="20"/>
                <w:szCs w:val="20"/>
              </w:rPr>
              <w:t>3. Подпись</w:t>
            </w:r>
          </w:p>
        </w:tc>
      </w:tr>
      <w:tr w:rsidR="00525722" w:rsidRPr="003B3EC6" w:rsidTr="00FE6713">
        <w:trPr>
          <w:cantSplit/>
        </w:trPr>
        <w:tc>
          <w:tcPr>
            <w:tcW w:w="10065" w:type="dxa"/>
          </w:tcPr>
          <w:tbl>
            <w:tblPr>
              <w:tblW w:w="0" w:type="auto"/>
              <w:tblLayout w:type="fixed"/>
              <w:tblCellMar>
                <w:left w:w="28" w:type="dxa"/>
                <w:right w:w="28" w:type="dxa"/>
              </w:tblCellMar>
              <w:tblLook w:val="0000" w:firstRow="0" w:lastRow="0" w:firstColumn="0" w:lastColumn="0" w:noHBand="0" w:noVBand="0"/>
            </w:tblPr>
            <w:tblGrid>
              <w:gridCol w:w="4423"/>
              <w:gridCol w:w="1984"/>
              <w:gridCol w:w="851"/>
              <w:gridCol w:w="2835"/>
              <w:gridCol w:w="142"/>
            </w:tblGrid>
            <w:tr w:rsidR="00525722" w:rsidRPr="003B3EC6" w:rsidTr="00AB1220">
              <w:trPr>
                <w:cantSplit/>
              </w:trPr>
              <w:tc>
                <w:tcPr>
                  <w:tcW w:w="4423" w:type="dxa"/>
                  <w:tcBorders>
                    <w:top w:val="single" w:sz="4" w:space="0" w:color="auto"/>
                    <w:bottom w:val="nil"/>
                    <w:right w:val="nil"/>
                  </w:tcBorders>
                  <w:vAlign w:val="bottom"/>
                </w:tcPr>
                <w:p w:rsidR="00703AE4" w:rsidRPr="003B3EC6" w:rsidRDefault="00525722" w:rsidP="00703AE4">
                  <w:pPr>
                    <w:ind w:left="57"/>
                    <w:rPr>
                      <w:rFonts w:ascii="Arial" w:hAnsi="Arial" w:cs="Arial"/>
                      <w:sz w:val="20"/>
                      <w:szCs w:val="20"/>
                    </w:rPr>
                  </w:pPr>
                  <w:r w:rsidRPr="003B3EC6">
                    <w:rPr>
                      <w:rFonts w:ascii="Arial" w:hAnsi="Arial" w:cs="Arial"/>
                      <w:sz w:val="20"/>
                      <w:szCs w:val="20"/>
                    </w:rPr>
                    <w:t xml:space="preserve">3.1. </w:t>
                  </w:r>
                  <w:proofErr w:type="spellStart"/>
                  <w:r w:rsidR="005114F6" w:rsidRPr="003B3EC6">
                    <w:rPr>
                      <w:rFonts w:ascii="Arial" w:hAnsi="Arial" w:cs="Arial"/>
                      <w:sz w:val="20"/>
                      <w:szCs w:val="20"/>
                    </w:rPr>
                    <w:t>И.о</w:t>
                  </w:r>
                  <w:proofErr w:type="spellEnd"/>
                  <w:r w:rsidR="005114F6" w:rsidRPr="003B3EC6">
                    <w:rPr>
                      <w:rFonts w:ascii="Arial" w:hAnsi="Arial" w:cs="Arial"/>
                      <w:sz w:val="20"/>
                      <w:szCs w:val="20"/>
                    </w:rPr>
                    <w:t xml:space="preserve">. </w:t>
                  </w:r>
                  <w:r w:rsidR="00703AE4" w:rsidRPr="003B3EC6">
                    <w:rPr>
                      <w:rFonts w:ascii="Arial" w:hAnsi="Arial" w:cs="Arial"/>
                      <w:sz w:val="20"/>
                      <w:szCs w:val="20"/>
                    </w:rPr>
                    <w:t>Председател</w:t>
                  </w:r>
                  <w:r w:rsidR="005114F6" w:rsidRPr="003B3EC6">
                    <w:rPr>
                      <w:rFonts w:ascii="Arial" w:hAnsi="Arial" w:cs="Arial"/>
                      <w:sz w:val="20"/>
                      <w:szCs w:val="20"/>
                    </w:rPr>
                    <w:t xml:space="preserve">я </w:t>
                  </w:r>
                  <w:r w:rsidR="00703AE4" w:rsidRPr="003B3EC6">
                    <w:rPr>
                      <w:rFonts w:ascii="Arial" w:hAnsi="Arial" w:cs="Arial"/>
                      <w:sz w:val="20"/>
                      <w:szCs w:val="20"/>
                    </w:rPr>
                    <w:t>Правления                                 АО «КБ ДельтаКредит»</w:t>
                  </w:r>
                </w:p>
                <w:p w:rsidR="00525722" w:rsidRPr="003B3EC6" w:rsidRDefault="00525722" w:rsidP="00AB1220">
                  <w:pPr>
                    <w:ind w:left="57"/>
                    <w:rPr>
                      <w:rFonts w:ascii="Arial" w:hAnsi="Arial" w:cs="Arial"/>
                      <w:sz w:val="20"/>
                      <w:szCs w:val="20"/>
                      <w:highlight w:val="yellow"/>
                    </w:rPr>
                  </w:pPr>
                </w:p>
              </w:tc>
              <w:tc>
                <w:tcPr>
                  <w:tcW w:w="1984" w:type="dxa"/>
                  <w:tcBorders>
                    <w:top w:val="single" w:sz="4" w:space="0" w:color="auto"/>
                    <w:left w:val="nil"/>
                    <w:bottom w:val="single" w:sz="4" w:space="0" w:color="auto"/>
                    <w:right w:val="nil"/>
                  </w:tcBorders>
                  <w:vAlign w:val="bottom"/>
                </w:tcPr>
                <w:p w:rsidR="00525722" w:rsidRPr="003B3EC6" w:rsidRDefault="00525722" w:rsidP="00AB1220">
                  <w:pPr>
                    <w:jc w:val="center"/>
                    <w:rPr>
                      <w:rFonts w:ascii="Arial" w:hAnsi="Arial" w:cs="Arial"/>
                      <w:sz w:val="20"/>
                      <w:szCs w:val="20"/>
                      <w:highlight w:val="yellow"/>
                    </w:rPr>
                  </w:pPr>
                </w:p>
              </w:tc>
              <w:tc>
                <w:tcPr>
                  <w:tcW w:w="851" w:type="dxa"/>
                  <w:tcBorders>
                    <w:top w:val="single" w:sz="4" w:space="0" w:color="auto"/>
                    <w:left w:val="nil"/>
                    <w:bottom w:val="nil"/>
                    <w:right w:val="nil"/>
                  </w:tcBorders>
                  <w:vAlign w:val="bottom"/>
                </w:tcPr>
                <w:p w:rsidR="00525722" w:rsidRPr="003B3EC6" w:rsidRDefault="00525722" w:rsidP="00AB1220">
                  <w:pPr>
                    <w:rPr>
                      <w:rFonts w:ascii="Arial" w:hAnsi="Arial" w:cs="Arial"/>
                      <w:sz w:val="20"/>
                      <w:szCs w:val="20"/>
                      <w:highlight w:val="yellow"/>
                    </w:rPr>
                  </w:pPr>
                </w:p>
              </w:tc>
              <w:tc>
                <w:tcPr>
                  <w:tcW w:w="2835" w:type="dxa"/>
                  <w:tcBorders>
                    <w:top w:val="single" w:sz="4" w:space="0" w:color="auto"/>
                    <w:left w:val="nil"/>
                    <w:bottom w:val="nil"/>
                    <w:right w:val="nil"/>
                  </w:tcBorders>
                  <w:vAlign w:val="bottom"/>
                </w:tcPr>
                <w:p w:rsidR="00525722" w:rsidRPr="003B3EC6" w:rsidRDefault="005114F6" w:rsidP="00AB1220">
                  <w:pPr>
                    <w:jc w:val="center"/>
                    <w:rPr>
                      <w:rFonts w:ascii="Arial" w:hAnsi="Arial" w:cs="Arial"/>
                      <w:sz w:val="20"/>
                      <w:szCs w:val="20"/>
                    </w:rPr>
                  </w:pPr>
                  <w:r w:rsidRPr="003B3EC6">
                    <w:rPr>
                      <w:rFonts w:ascii="Arial" w:hAnsi="Arial" w:cs="Arial"/>
                      <w:sz w:val="20"/>
                      <w:szCs w:val="20"/>
                    </w:rPr>
                    <w:t>Ковалев Д.П.</w:t>
                  </w:r>
                </w:p>
              </w:tc>
              <w:tc>
                <w:tcPr>
                  <w:tcW w:w="142" w:type="dxa"/>
                  <w:tcBorders>
                    <w:top w:val="single" w:sz="4" w:space="0" w:color="auto"/>
                    <w:left w:val="nil"/>
                    <w:bottom w:val="nil"/>
                    <w:right w:val="single" w:sz="4" w:space="0" w:color="auto"/>
                  </w:tcBorders>
                  <w:vAlign w:val="bottom"/>
                </w:tcPr>
                <w:p w:rsidR="00525722" w:rsidRPr="003B3EC6" w:rsidRDefault="00525722" w:rsidP="00AB1220">
                  <w:pPr>
                    <w:rPr>
                      <w:rFonts w:ascii="Arial" w:hAnsi="Arial" w:cs="Arial"/>
                      <w:sz w:val="20"/>
                      <w:szCs w:val="20"/>
                    </w:rPr>
                  </w:pPr>
                </w:p>
              </w:tc>
            </w:tr>
            <w:tr w:rsidR="00525722" w:rsidRPr="003B3EC6" w:rsidTr="00AB1220">
              <w:trPr>
                <w:cantSplit/>
                <w:trHeight w:hRule="exact" w:val="280"/>
              </w:trPr>
              <w:tc>
                <w:tcPr>
                  <w:tcW w:w="4423" w:type="dxa"/>
                  <w:tcBorders>
                    <w:top w:val="nil"/>
                    <w:bottom w:val="nil"/>
                    <w:right w:val="nil"/>
                  </w:tcBorders>
                </w:tcPr>
                <w:p w:rsidR="00525722" w:rsidRPr="003B3EC6" w:rsidRDefault="00525722" w:rsidP="00AB1220">
                  <w:pPr>
                    <w:ind w:left="57"/>
                    <w:rPr>
                      <w:rFonts w:ascii="Arial" w:hAnsi="Arial" w:cs="Arial"/>
                      <w:sz w:val="20"/>
                      <w:szCs w:val="20"/>
                    </w:rPr>
                  </w:pPr>
                </w:p>
              </w:tc>
              <w:tc>
                <w:tcPr>
                  <w:tcW w:w="1984" w:type="dxa"/>
                  <w:tcBorders>
                    <w:top w:val="nil"/>
                    <w:left w:val="nil"/>
                    <w:bottom w:val="nil"/>
                    <w:right w:val="nil"/>
                  </w:tcBorders>
                </w:tcPr>
                <w:p w:rsidR="00525722" w:rsidRPr="003B3EC6" w:rsidRDefault="00525722" w:rsidP="00AB1220">
                  <w:pPr>
                    <w:jc w:val="center"/>
                    <w:rPr>
                      <w:rFonts w:ascii="Arial" w:hAnsi="Arial" w:cs="Arial"/>
                      <w:sz w:val="20"/>
                      <w:szCs w:val="20"/>
                    </w:rPr>
                  </w:pPr>
                  <w:r w:rsidRPr="003B3EC6">
                    <w:rPr>
                      <w:rFonts w:ascii="Arial" w:hAnsi="Arial" w:cs="Arial"/>
                      <w:sz w:val="20"/>
                      <w:szCs w:val="20"/>
                    </w:rPr>
                    <w:t>(подпись)</w:t>
                  </w:r>
                </w:p>
              </w:tc>
              <w:tc>
                <w:tcPr>
                  <w:tcW w:w="851" w:type="dxa"/>
                  <w:tcBorders>
                    <w:top w:val="nil"/>
                    <w:left w:val="nil"/>
                    <w:bottom w:val="nil"/>
                    <w:right w:val="nil"/>
                  </w:tcBorders>
                </w:tcPr>
                <w:p w:rsidR="00525722" w:rsidRPr="003B3EC6" w:rsidRDefault="00525722" w:rsidP="00AB1220">
                  <w:pPr>
                    <w:rPr>
                      <w:rFonts w:ascii="Arial" w:hAnsi="Arial" w:cs="Arial"/>
                      <w:sz w:val="20"/>
                      <w:szCs w:val="20"/>
                    </w:rPr>
                  </w:pPr>
                </w:p>
              </w:tc>
              <w:tc>
                <w:tcPr>
                  <w:tcW w:w="2835" w:type="dxa"/>
                  <w:tcBorders>
                    <w:top w:val="nil"/>
                    <w:left w:val="nil"/>
                    <w:bottom w:val="nil"/>
                    <w:right w:val="nil"/>
                  </w:tcBorders>
                </w:tcPr>
                <w:p w:rsidR="00525722" w:rsidRPr="003B3EC6" w:rsidRDefault="00525722" w:rsidP="00AB1220">
                  <w:pPr>
                    <w:rPr>
                      <w:rFonts w:ascii="Arial" w:hAnsi="Arial" w:cs="Arial"/>
                      <w:sz w:val="20"/>
                      <w:szCs w:val="20"/>
                    </w:rPr>
                  </w:pPr>
                </w:p>
              </w:tc>
              <w:tc>
                <w:tcPr>
                  <w:tcW w:w="142" w:type="dxa"/>
                  <w:tcBorders>
                    <w:top w:val="nil"/>
                    <w:left w:val="nil"/>
                    <w:bottom w:val="nil"/>
                    <w:right w:val="single" w:sz="4" w:space="0" w:color="auto"/>
                  </w:tcBorders>
                </w:tcPr>
                <w:p w:rsidR="00525722" w:rsidRPr="003B3EC6" w:rsidRDefault="00525722" w:rsidP="00AB1220">
                  <w:pPr>
                    <w:rPr>
                      <w:rFonts w:ascii="Arial" w:hAnsi="Arial" w:cs="Arial"/>
                      <w:sz w:val="20"/>
                      <w:szCs w:val="20"/>
                    </w:rPr>
                  </w:pPr>
                </w:p>
              </w:tc>
            </w:tr>
            <w:tr w:rsidR="00525722" w:rsidRPr="003B3EC6" w:rsidTr="00AB1220">
              <w:trPr>
                <w:cantSplit/>
              </w:trPr>
              <w:tc>
                <w:tcPr>
                  <w:tcW w:w="4423" w:type="dxa"/>
                  <w:tcBorders>
                    <w:top w:val="nil"/>
                    <w:bottom w:val="nil"/>
                    <w:right w:val="nil"/>
                  </w:tcBorders>
                  <w:vAlign w:val="bottom"/>
                </w:tcPr>
                <w:p w:rsidR="00525722" w:rsidRPr="003B3EC6" w:rsidRDefault="00525722" w:rsidP="000A37C5">
                  <w:pPr>
                    <w:ind w:left="57"/>
                    <w:rPr>
                      <w:rFonts w:ascii="Arial" w:hAnsi="Arial" w:cs="Arial"/>
                      <w:sz w:val="20"/>
                      <w:szCs w:val="20"/>
                      <w:highlight w:val="yellow"/>
                    </w:rPr>
                  </w:pPr>
                  <w:r w:rsidRPr="003B3EC6">
                    <w:rPr>
                      <w:rFonts w:ascii="Arial" w:hAnsi="Arial" w:cs="Arial"/>
                      <w:sz w:val="20"/>
                      <w:szCs w:val="20"/>
                    </w:rPr>
                    <w:t>3.2. Дата «</w:t>
                  </w:r>
                  <w:r w:rsidR="000A37C5">
                    <w:rPr>
                      <w:rFonts w:ascii="Arial" w:hAnsi="Arial" w:cs="Arial"/>
                      <w:sz w:val="20"/>
                      <w:szCs w:val="20"/>
                    </w:rPr>
                    <w:t>3</w:t>
                  </w:r>
                  <w:r w:rsidR="009D16A4" w:rsidRPr="003B3EC6">
                    <w:rPr>
                      <w:rFonts w:ascii="Arial" w:hAnsi="Arial" w:cs="Arial"/>
                      <w:color w:val="000000"/>
                      <w:sz w:val="20"/>
                      <w:szCs w:val="20"/>
                    </w:rPr>
                    <w:t xml:space="preserve">»  </w:t>
                  </w:r>
                  <w:r w:rsidR="000A37C5">
                    <w:rPr>
                      <w:rFonts w:ascii="Arial" w:hAnsi="Arial" w:cs="Arial"/>
                      <w:color w:val="000000"/>
                      <w:sz w:val="20"/>
                      <w:szCs w:val="20"/>
                    </w:rPr>
                    <w:t>октября</w:t>
                  </w:r>
                  <w:r w:rsidR="009D16A4" w:rsidRPr="003B3EC6">
                    <w:rPr>
                      <w:rFonts w:ascii="Arial" w:hAnsi="Arial" w:cs="Arial"/>
                      <w:color w:val="000000"/>
                      <w:sz w:val="20"/>
                      <w:szCs w:val="20"/>
                    </w:rPr>
                    <w:t xml:space="preserve"> </w:t>
                  </w:r>
                  <w:r w:rsidRPr="003B3EC6">
                    <w:rPr>
                      <w:rFonts w:ascii="Arial" w:hAnsi="Arial" w:cs="Arial"/>
                      <w:color w:val="000000"/>
                      <w:sz w:val="20"/>
                      <w:szCs w:val="20"/>
                    </w:rPr>
                    <w:t xml:space="preserve"> </w:t>
                  </w:r>
                  <w:r w:rsidRPr="003B3EC6">
                    <w:rPr>
                      <w:rFonts w:ascii="Arial" w:hAnsi="Arial" w:cs="Arial"/>
                      <w:sz w:val="20"/>
                      <w:szCs w:val="20"/>
                    </w:rPr>
                    <w:t>2016 г.</w:t>
                  </w:r>
                </w:p>
              </w:tc>
              <w:tc>
                <w:tcPr>
                  <w:tcW w:w="1984" w:type="dxa"/>
                  <w:tcBorders>
                    <w:top w:val="nil"/>
                    <w:left w:val="nil"/>
                    <w:bottom w:val="nil"/>
                    <w:right w:val="nil"/>
                  </w:tcBorders>
                  <w:vAlign w:val="bottom"/>
                </w:tcPr>
                <w:p w:rsidR="00525722" w:rsidRPr="003B3EC6" w:rsidRDefault="00525722" w:rsidP="00AB1220">
                  <w:pPr>
                    <w:jc w:val="center"/>
                    <w:rPr>
                      <w:rFonts w:ascii="Arial" w:hAnsi="Arial" w:cs="Arial"/>
                      <w:sz w:val="20"/>
                      <w:szCs w:val="20"/>
                      <w:highlight w:val="yellow"/>
                    </w:rPr>
                  </w:pPr>
                  <w:r w:rsidRPr="003B3EC6">
                    <w:rPr>
                      <w:rFonts w:ascii="Arial" w:hAnsi="Arial" w:cs="Arial"/>
                      <w:sz w:val="20"/>
                      <w:szCs w:val="20"/>
                    </w:rPr>
                    <w:t>М.П.</w:t>
                  </w:r>
                </w:p>
              </w:tc>
              <w:tc>
                <w:tcPr>
                  <w:tcW w:w="3828" w:type="dxa"/>
                  <w:gridSpan w:val="3"/>
                  <w:tcBorders>
                    <w:top w:val="nil"/>
                    <w:left w:val="nil"/>
                    <w:bottom w:val="nil"/>
                    <w:right w:val="single" w:sz="4" w:space="0" w:color="auto"/>
                  </w:tcBorders>
                  <w:vAlign w:val="bottom"/>
                </w:tcPr>
                <w:p w:rsidR="00525722" w:rsidRPr="003B3EC6" w:rsidRDefault="00525722" w:rsidP="00AB1220">
                  <w:pPr>
                    <w:rPr>
                      <w:rFonts w:ascii="Arial" w:hAnsi="Arial" w:cs="Arial"/>
                      <w:sz w:val="20"/>
                      <w:szCs w:val="20"/>
                    </w:rPr>
                  </w:pPr>
                </w:p>
              </w:tc>
            </w:tr>
            <w:tr w:rsidR="00525722" w:rsidRPr="003B3EC6" w:rsidTr="00AB1220">
              <w:trPr>
                <w:cantSplit/>
              </w:trPr>
              <w:tc>
                <w:tcPr>
                  <w:tcW w:w="4423" w:type="dxa"/>
                  <w:tcBorders>
                    <w:top w:val="nil"/>
                    <w:bottom w:val="single" w:sz="4" w:space="0" w:color="auto"/>
                    <w:right w:val="nil"/>
                  </w:tcBorders>
                </w:tcPr>
                <w:p w:rsidR="00525722" w:rsidRPr="003B3EC6" w:rsidRDefault="00525722" w:rsidP="00AB1220">
                  <w:pPr>
                    <w:ind w:left="57"/>
                    <w:rPr>
                      <w:rFonts w:ascii="Arial" w:hAnsi="Arial" w:cs="Arial"/>
                      <w:sz w:val="20"/>
                      <w:szCs w:val="20"/>
                    </w:rPr>
                  </w:pPr>
                </w:p>
              </w:tc>
              <w:tc>
                <w:tcPr>
                  <w:tcW w:w="1984" w:type="dxa"/>
                  <w:tcBorders>
                    <w:top w:val="nil"/>
                    <w:left w:val="nil"/>
                    <w:bottom w:val="single" w:sz="4" w:space="0" w:color="auto"/>
                    <w:right w:val="nil"/>
                  </w:tcBorders>
                </w:tcPr>
                <w:p w:rsidR="00525722" w:rsidRPr="003B3EC6" w:rsidRDefault="00525722" w:rsidP="00AB1220">
                  <w:pPr>
                    <w:jc w:val="center"/>
                    <w:rPr>
                      <w:rFonts w:ascii="Arial" w:hAnsi="Arial" w:cs="Arial"/>
                      <w:sz w:val="20"/>
                      <w:szCs w:val="20"/>
                    </w:rPr>
                  </w:pPr>
                </w:p>
              </w:tc>
              <w:tc>
                <w:tcPr>
                  <w:tcW w:w="3828" w:type="dxa"/>
                  <w:gridSpan w:val="3"/>
                  <w:tcBorders>
                    <w:top w:val="nil"/>
                    <w:left w:val="nil"/>
                    <w:bottom w:val="single" w:sz="4" w:space="0" w:color="auto"/>
                    <w:right w:val="single" w:sz="4" w:space="0" w:color="auto"/>
                  </w:tcBorders>
                </w:tcPr>
                <w:p w:rsidR="00525722" w:rsidRPr="003B3EC6" w:rsidRDefault="00525722" w:rsidP="00AB1220">
                  <w:pPr>
                    <w:rPr>
                      <w:rFonts w:ascii="Arial" w:hAnsi="Arial" w:cs="Arial"/>
                      <w:sz w:val="20"/>
                      <w:szCs w:val="20"/>
                    </w:rPr>
                  </w:pPr>
                </w:p>
              </w:tc>
            </w:tr>
          </w:tbl>
          <w:p w:rsidR="00525722" w:rsidRPr="003B3EC6" w:rsidRDefault="00525722" w:rsidP="00AB1220">
            <w:pPr>
              <w:jc w:val="center"/>
              <w:rPr>
                <w:rFonts w:ascii="Arial" w:hAnsi="Arial" w:cs="Arial"/>
                <w:sz w:val="20"/>
                <w:szCs w:val="20"/>
              </w:rPr>
            </w:pPr>
          </w:p>
        </w:tc>
      </w:tr>
    </w:tbl>
    <w:p w:rsidR="00525722" w:rsidRPr="003B3EC6" w:rsidRDefault="00525722" w:rsidP="00525722">
      <w:pPr>
        <w:rPr>
          <w:rStyle w:val="Style12pt"/>
          <w:rFonts w:ascii="Arial" w:hAnsi="Arial" w:cs="Arial"/>
          <w:sz w:val="20"/>
          <w:szCs w:val="20"/>
        </w:rPr>
      </w:pPr>
    </w:p>
    <w:p w:rsidR="00822241" w:rsidRPr="003B3EC6" w:rsidRDefault="00822241" w:rsidP="00822241">
      <w:pPr>
        <w:pStyle w:val="a3"/>
        <w:tabs>
          <w:tab w:val="clear" w:pos="4677"/>
          <w:tab w:val="clear" w:pos="9355"/>
        </w:tabs>
        <w:rPr>
          <w:rFonts w:ascii="Arial" w:hAnsi="Arial" w:cs="Arial"/>
          <w:sz w:val="20"/>
          <w:szCs w:val="20"/>
        </w:rPr>
      </w:pPr>
    </w:p>
    <w:sectPr w:rsidR="00822241" w:rsidRPr="003B3EC6" w:rsidSect="00B61895">
      <w:footerReference w:type="default" r:id="rId12"/>
      <w:pgSz w:w="11906" w:h="16838" w:code="9"/>
      <w:pgMar w:top="567" w:right="1134" w:bottom="284" w:left="1134"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73E" w:rsidRDefault="0097173E">
      <w:r>
        <w:separator/>
      </w:r>
    </w:p>
  </w:endnote>
  <w:endnote w:type="continuationSeparator" w:id="0">
    <w:p w:rsidR="0097173E" w:rsidRDefault="00971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611180"/>
      <w:docPartObj>
        <w:docPartGallery w:val="Page Numbers (Bottom of Page)"/>
        <w:docPartUnique/>
      </w:docPartObj>
    </w:sdtPr>
    <w:sdtEndPr/>
    <w:sdtContent>
      <w:p w:rsidR="00C91849" w:rsidRDefault="00703AE4">
        <w:pPr>
          <w:pStyle w:val="a5"/>
          <w:jc w:val="right"/>
        </w:pPr>
        <w:r>
          <w:fldChar w:fldCharType="begin"/>
        </w:r>
        <w:r>
          <w:instrText>PAGE   \* MERGEFORMAT</w:instrText>
        </w:r>
        <w:r>
          <w:fldChar w:fldCharType="separate"/>
        </w:r>
        <w:r w:rsidR="00E8171D">
          <w:rPr>
            <w:noProof/>
          </w:rPr>
          <w:t>4</w:t>
        </w:r>
        <w:r>
          <w:rPr>
            <w:noProof/>
          </w:rPr>
          <w:fldChar w:fldCharType="end"/>
        </w:r>
      </w:p>
    </w:sdtContent>
  </w:sdt>
  <w:p w:rsidR="00C91849" w:rsidRDefault="00C9184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73E" w:rsidRDefault="0097173E">
      <w:r>
        <w:separator/>
      </w:r>
    </w:p>
  </w:footnote>
  <w:footnote w:type="continuationSeparator" w:id="0">
    <w:p w:rsidR="0097173E" w:rsidRDefault="009717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F565D7"/>
    <w:multiLevelType w:val="hybridMultilevel"/>
    <w:tmpl w:val="8084EFFA"/>
    <w:lvl w:ilvl="0" w:tplc="8788EF58">
      <w:start w:val="6"/>
      <w:numFmt w:val="bullet"/>
      <w:lvlText w:val="-"/>
      <w:lvlJc w:val="left"/>
      <w:pPr>
        <w:tabs>
          <w:tab w:val="num" w:pos="1080"/>
        </w:tabs>
        <w:ind w:left="1080" w:hanging="360"/>
      </w:pPr>
      <w:rPr>
        <w:rFonts w:ascii="Times New Roman" w:eastAsia="Times New Roman" w:hAnsi="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51A568E8"/>
    <w:multiLevelType w:val="hybridMultilevel"/>
    <w:tmpl w:val="FAC2AFC6"/>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F22"/>
    <w:rsid w:val="0001473A"/>
    <w:rsid w:val="00017415"/>
    <w:rsid w:val="00026E80"/>
    <w:rsid w:val="00034694"/>
    <w:rsid w:val="0004321A"/>
    <w:rsid w:val="000436A6"/>
    <w:rsid w:val="00050DE7"/>
    <w:rsid w:val="00053FB0"/>
    <w:rsid w:val="00066E91"/>
    <w:rsid w:val="000673CD"/>
    <w:rsid w:val="00081B1B"/>
    <w:rsid w:val="00090BDC"/>
    <w:rsid w:val="000954B8"/>
    <w:rsid w:val="000A1815"/>
    <w:rsid w:val="000A34C4"/>
    <w:rsid w:val="000A37C5"/>
    <w:rsid w:val="000B14AB"/>
    <w:rsid w:val="000B651C"/>
    <w:rsid w:val="000B6E9D"/>
    <w:rsid w:val="000C7456"/>
    <w:rsid w:val="000D42F3"/>
    <w:rsid w:val="000F4496"/>
    <w:rsid w:val="001007CD"/>
    <w:rsid w:val="00102505"/>
    <w:rsid w:val="001042DE"/>
    <w:rsid w:val="00110A46"/>
    <w:rsid w:val="0014108B"/>
    <w:rsid w:val="0014291E"/>
    <w:rsid w:val="00142A26"/>
    <w:rsid w:val="00150E9E"/>
    <w:rsid w:val="00172DE1"/>
    <w:rsid w:val="00175A40"/>
    <w:rsid w:val="00176A64"/>
    <w:rsid w:val="001810C6"/>
    <w:rsid w:val="00182CBD"/>
    <w:rsid w:val="00183BFD"/>
    <w:rsid w:val="001958E0"/>
    <w:rsid w:val="0019633A"/>
    <w:rsid w:val="001A33FD"/>
    <w:rsid w:val="001B27B5"/>
    <w:rsid w:val="001B3C77"/>
    <w:rsid w:val="001B469A"/>
    <w:rsid w:val="001C116A"/>
    <w:rsid w:val="001C6A65"/>
    <w:rsid w:val="001D7BD5"/>
    <w:rsid w:val="001E091B"/>
    <w:rsid w:val="001E3380"/>
    <w:rsid w:val="00202404"/>
    <w:rsid w:val="00232BD1"/>
    <w:rsid w:val="002345B3"/>
    <w:rsid w:val="00236B19"/>
    <w:rsid w:val="00240384"/>
    <w:rsid w:val="00253022"/>
    <w:rsid w:val="00282F4F"/>
    <w:rsid w:val="00283F29"/>
    <w:rsid w:val="00287D9D"/>
    <w:rsid w:val="002A6477"/>
    <w:rsid w:val="002A76EC"/>
    <w:rsid w:val="002B14D7"/>
    <w:rsid w:val="002B43C2"/>
    <w:rsid w:val="002B4AC6"/>
    <w:rsid w:val="002C3AE8"/>
    <w:rsid w:val="002C49EA"/>
    <w:rsid w:val="002C5F50"/>
    <w:rsid w:val="002D0B1D"/>
    <w:rsid w:val="002D6917"/>
    <w:rsid w:val="002E2555"/>
    <w:rsid w:val="002F3E66"/>
    <w:rsid w:val="002F6F4E"/>
    <w:rsid w:val="002F7D5A"/>
    <w:rsid w:val="00300876"/>
    <w:rsid w:val="00300FB4"/>
    <w:rsid w:val="003035A5"/>
    <w:rsid w:val="003039AC"/>
    <w:rsid w:val="00331CE0"/>
    <w:rsid w:val="00350F64"/>
    <w:rsid w:val="0035484A"/>
    <w:rsid w:val="00370767"/>
    <w:rsid w:val="00377C5A"/>
    <w:rsid w:val="00385550"/>
    <w:rsid w:val="00390F75"/>
    <w:rsid w:val="00392884"/>
    <w:rsid w:val="003929F6"/>
    <w:rsid w:val="003935F4"/>
    <w:rsid w:val="003A6E91"/>
    <w:rsid w:val="003B05C5"/>
    <w:rsid w:val="003B197D"/>
    <w:rsid w:val="003B3EC6"/>
    <w:rsid w:val="003C11AA"/>
    <w:rsid w:val="003C5CB9"/>
    <w:rsid w:val="003D1517"/>
    <w:rsid w:val="003F522C"/>
    <w:rsid w:val="003F58C7"/>
    <w:rsid w:val="003F7834"/>
    <w:rsid w:val="0041031B"/>
    <w:rsid w:val="0041369A"/>
    <w:rsid w:val="00420F7F"/>
    <w:rsid w:val="00426810"/>
    <w:rsid w:val="00430327"/>
    <w:rsid w:val="00444C56"/>
    <w:rsid w:val="00452DDB"/>
    <w:rsid w:val="00455152"/>
    <w:rsid w:val="00461DD6"/>
    <w:rsid w:val="00462A79"/>
    <w:rsid w:val="004867FF"/>
    <w:rsid w:val="004876BF"/>
    <w:rsid w:val="00493400"/>
    <w:rsid w:val="00497155"/>
    <w:rsid w:val="00497351"/>
    <w:rsid w:val="004976F7"/>
    <w:rsid w:val="004A5235"/>
    <w:rsid w:val="004A77CA"/>
    <w:rsid w:val="004B1FD6"/>
    <w:rsid w:val="004B3A77"/>
    <w:rsid w:val="004B453B"/>
    <w:rsid w:val="004C2102"/>
    <w:rsid w:val="004C3148"/>
    <w:rsid w:val="004D335D"/>
    <w:rsid w:val="004D4C2B"/>
    <w:rsid w:val="004D709C"/>
    <w:rsid w:val="004E7CCD"/>
    <w:rsid w:val="004F1093"/>
    <w:rsid w:val="004F56AC"/>
    <w:rsid w:val="00502141"/>
    <w:rsid w:val="00506980"/>
    <w:rsid w:val="005114F6"/>
    <w:rsid w:val="00524BAE"/>
    <w:rsid w:val="00525722"/>
    <w:rsid w:val="005320A2"/>
    <w:rsid w:val="00532822"/>
    <w:rsid w:val="00537A52"/>
    <w:rsid w:val="00545511"/>
    <w:rsid w:val="00546371"/>
    <w:rsid w:val="00554790"/>
    <w:rsid w:val="0056085C"/>
    <w:rsid w:val="00562F72"/>
    <w:rsid w:val="0056514B"/>
    <w:rsid w:val="005948F7"/>
    <w:rsid w:val="005A1896"/>
    <w:rsid w:val="005A1C56"/>
    <w:rsid w:val="005A7703"/>
    <w:rsid w:val="005B03E4"/>
    <w:rsid w:val="005B0DE6"/>
    <w:rsid w:val="005B7DBA"/>
    <w:rsid w:val="005C3D69"/>
    <w:rsid w:val="005C7164"/>
    <w:rsid w:val="005D1606"/>
    <w:rsid w:val="005D4F95"/>
    <w:rsid w:val="005E00E7"/>
    <w:rsid w:val="005E2A12"/>
    <w:rsid w:val="005E5DBE"/>
    <w:rsid w:val="00601BF9"/>
    <w:rsid w:val="00615219"/>
    <w:rsid w:val="00615749"/>
    <w:rsid w:val="00622332"/>
    <w:rsid w:val="0062496E"/>
    <w:rsid w:val="006336EE"/>
    <w:rsid w:val="00636AFF"/>
    <w:rsid w:val="006376A9"/>
    <w:rsid w:val="006465AA"/>
    <w:rsid w:val="006519E5"/>
    <w:rsid w:val="00662B3A"/>
    <w:rsid w:val="00662BCC"/>
    <w:rsid w:val="00665B77"/>
    <w:rsid w:val="00671375"/>
    <w:rsid w:val="00675040"/>
    <w:rsid w:val="006838D8"/>
    <w:rsid w:val="00683BED"/>
    <w:rsid w:val="006A215D"/>
    <w:rsid w:val="006B6B2B"/>
    <w:rsid w:val="006C7C00"/>
    <w:rsid w:val="006D0CCC"/>
    <w:rsid w:val="006E6493"/>
    <w:rsid w:val="006E6C4D"/>
    <w:rsid w:val="006F359F"/>
    <w:rsid w:val="00703AE4"/>
    <w:rsid w:val="00722C49"/>
    <w:rsid w:val="007303B2"/>
    <w:rsid w:val="00743F87"/>
    <w:rsid w:val="00746809"/>
    <w:rsid w:val="00747E5A"/>
    <w:rsid w:val="007571FE"/>
    <w:rsid w:val="00761770"/>
    <w:rsid w:val="00765FA9"/>
    <w:rsid w:val="00783E35"/>
    <w:rsid w:val="00783F5A"/>
    <w:rsid w:val="00785286"/>
    <w:rsid w:val="0078720B"/>
    <w:rsid w:val="00787BA1"/>
    <w:rsid w:val="007909B4"/>
    <w:rsid w:val="00794632"/>
    <w:rsid w:val="007A2003"/>
    <w:rsid w:val="007A345F"/>
    <w:rsid w:val="007B4E81"/>
    <w:rsid w:val="007C0F5A"/>
    <w:rsid w:val="007C1968"/>
    <w:rsid w:val="007C1C77"/>
    <w:rsid w:val="007C63F7"/>
    <w:rsid w:val="007D2B7D"/>
    <w:rsid w:val="007D4FB5"/>
    <w:rsid w:val="007F0F0E"/>
    <w:rsid w:val="007F4C45"/>
    <w:rsid w:val="00804DA3"/>
    <w:rsid w:val="008074E1"/>
    <w:rsid w:val="00812856"/>
    <w:rsid w:val="00815E17"/>
    <w:rsid w:val="00817928"/>
    <w:rsid w:val="00822241"/>
    <w:rsid w:val="008279C2"/>
    <w:rsid w:val="00837F7C"/>
    <w:rsid w:val="00841D67"/>
    <w:rsid w:val="00867075"/>
    <w:rsid w:val="00880B20"/>
    <w:rsid w:val="008869AE"/>
    <w:rsid w:val="008A0C17"/>
    <w:rsid w:val="008A7F6A"/>
    <w:rsid w:val="008B5FB4"/>
    <w:rsid w:val="008B70BC"/>
    <w:rsid w:val="008C73C9"/>
    <w:rsid w:val="008D22A3"/>
    <w:rsid w:val="008D3A1C"/>
    <w:rsid w:val="008D6D5A"/>
    <w:rsid w:val="008E43F6"/>
    <w:rsid w:val="008E46F3"/>
    <w:rsid w:val="008E4A81"/>
    <w:rsid w:val="00900996"/>
    <w:rsid w:val="00932B76"/>
    <w:rsid w:val="00954C1F"/>
    <w:rsid w:val="00955BB2"/>
    <w:rsid w:val="0096019C"/>
    <w:rsid w:val="009625CD"/>
    <w:rsid w:val="0097173E"/>
    <w:rsid w:val="009736E0"/>
    <w:rsid w:val="009813CC"/>
    <w:rsid w:val="00987399"/>
    <w:rsid w:val="009923D3"/>
    <w:rsid w:val="009943E6"/>
    <w:rsid w:val="009A1515"/>
    <w:rsid w:val="009A2006"/>
    <w:rsid w:val="009A440D"/>
    <w:rsid w:val="009A5CCF"/>
    <w:rsid w:val="009A5F2C"/>
    <w:rsid w:val="009D16A4"/>
    <w:rsid w:val="009D3277"/>
    <w:rsid w:val="009D45FF"/>
    <w:rsid w:val="009D6135"/>
    <w:rsid w:val="009D6355"/>
    <w:rsid w:val="009D7128"/>
    <w:rsid w:val="009E2B52"/>
    <w:rsid w:val="009F1C38"/>
    <w:rsid w:val="009F3CEE"/>
    <w:rsid w:val="00A10D72"/>
    <w:rsid w:val="00A1512E"/>
    <w:rsid w:val="00A20E08"/>
    <w:rsid w:val="00A20F8B"/>
    <w:rsid w:val="00A241C9"/>
    <w:rsid w:val="00A27EC1"/>
    <w:rsid w:val="00A36826"/>
    <w:rsid w:val="00A4189D"/>
    <w:rsid w:val="00A4604C"/>
    <w:rsid w:val="00A51309"/>
    <w:rsid w:val="00A66A91"/>
    <w:rsid w:val="00A70EF4"/>
    <w:rsid w:val="00A71A3C"/>
    <w:rsid w:val="00A73E9E"/>
    <w:rsid w:val="00A81035"/>
    <w:rsid w:val="00A94F4A"/>
    <w:rsid w:val="00AA025E"/>
    <w:rsid w:val="00AA386E"/>
    <w:rsid w:val="00AA55DB"/>
    <w:rsid w:val="00AA5981"/>
    <w:rsid w:val="00AB7471"/>
    <w:rsid w:val="00AD506E"/>
    <w:rsid w:val="00AD52C8"/>
    <w:rsid w:val="00AE4EF4"/>
    <w:rsid w:val="00AF062D"/>
    <w:rsid w:val="00AF2A1E"/>
    <w:rsid w:val="00B041EA"/>
    <w:rsid w:val="00B13CB8"/>
    <w:rsid w:val="00B5170D"/>
    <w:rsid w:val="00B57FF0"/>
    <w:rsid w:val="00B61895"/>
    <w:rsid w:val="00B6664D"/>
    <w:rsid w:val="00B71DE0"/>
    <w:rsid w:val="00B7492B"/>
    <w:rsid w:val="00B83D74"/>
    <w:rsid w:val="00B86510"/>
    <w:rsid w:val="00BA0149"/>
    <w:rsid w:val="00BA2727"/>
    <w:rsid w:val="00BA6748"/>
    <w:rsid w:val="00BD21EA"/>
    <w:rsid w:val="00BD5425"/>
    <w:rsid w:val="00BE4792"/>
    <w:rsid w:val="00BF3302"/>
    <w:rsid w:val="00C11942"/>
    <w:rsid w:val="00C141F0"/>
    <w:rsid w:val="00C1647E"/>
    <w:rsid w:val="00C2023E"/>
    <w:rsid w:val="00C4016E"/>
    <w:rsid w:val="00C416FB"/>
    <w:rsid w:val="00C44543"/>
    <w:rsid w:val="00C50674"/>
    <w:rsid w:val="00C53015"/>
    <w:rsid w:val="00C55821"/>
    <w:rsid w:val="00C55937"/>
    <w:rsid w:val="00C63F8B"/>
    <w:rsid w:val="00C70A7A"/>
    <w:rsid w:val="00C76A3B"/>
    <w:rsid w:val="00C91849"/>
    <w:rsid w:val="00CD6302"/>
    <w:rsid w:val="00CE089C"/>
    <w:rsid w:val="00CE367E"/>
    <w:rsid w:val="00CE64D4"/>
    <w:rsid w:val="00CF521F"/>
    <w:rsid w:val="00D055CC"/>
    <w:rsid w:val="00D06ADA"/>
    <w:rsid w:val="00D15391"/>
    <w:rsid w:val="00D15B98"/>
    <w:rsid w:val="00D20980"/>
    <w:rsid w:val="00D25D32"/>
    <w:rsid w:val="00D415BC"/>
    <w:rsid w:val="00D42645"/>
    <w:rsid w:val="00D44D4D"/>
    <w:rsid w:val="00D511E8"/>
    <w:rsid w:val="00D61398"/>
    <w:rsid w:val="00D65CD7"/>
    <w:rsid w:val="00D66FDB"/>
    <w:rsid w:val="00D72EC8"/>
    <w:rsid w:val="00D74048"/>
    <w:rsid w:val="00DC2836"/>
    <w:rsid w:val="00DF1F0D"/>
    <w:rsid w:val="00E071AA"/>
    <w:rsid w:val="00E07573"/>
    <w:rsid w:val="00E10A45"/>
    <w:rsid w:val="00E117BE"/>
    <w:rsid w:val="00E133BD"/>
    <w:rsid w:val="00E13D34"/>
    <w:rsid w:val="00E140C3"/>
    <w:rsid w:val="00E40FA8"/>
    <w:rsid w:val="00E65B28"/>
    <w:rsid w:val="00E8171D"/>
    <w:rsid w:val="00E868F0"/>
    <w:rsid w:val="00E92ABA"/>
    <w:rsid w:val="00EA2877"/>
    <w:rsid w:val="00EA42A4"/>
    <w:rsid w:val="00EA45D5"/>
    <w:rsid w:val="00EB43BA"/>
    <w:rsid w:val="00EB5842"/>
    <w:rsid w:val="00EB67E4"/>
    <w:rsid w:val="00EC338D"/>
    <w:rsid w:val="00EC3E5D"/>
    <w:rsid w:val="00EC7165"/>
    <w:rsid w:val="00EC71FE"/>
    <w:rsid w:val="00ED4119"/>
    <w:rsid w:val="00EE1C8A"/>
    <w:rsid w:val="00EE30B4"/>
    <w:rsid w:val="00EE3C24"/>
    <w:rsid w:val="00EE4631"/>
    <w:rsid w:val="00F01F22"/>
    <w:rsid w:val="00F054DF"/>
    <w:rsid w:val="00F067C1"/>
    <w:rsid w:val="00F1117B"/>
    <w:rsid w:val="00F21BAB"/>
    <w:rsid w:val="00F251F8"/>
    <w:rsid w:val="00F27142"/>
    <w:rsid w:val="00F27CD9"/>
    <w:rsid w:val="00F30055"/>
    <w:rsid w:val="00F3767F"/>
    <w:rsid w:val="00F4587B"/>
    <w:rsid w:val="00F46C1A"/>
    <w:rsid w:val="00F5182A"/>
    <w:rsid w:val="00F57C0F"/>
    <w:rsid w:val="00F74B4F"/>
    <w:rsid w:val="00F826E2"/>
    <w:rsid w:val="00F829FF"/>
    <w:rsid w:val="00F83428"/>
    <w:rsid w:val="00F87FA1"/>
    <w:rsid w:val="00F90649"/>
    <w:rsid w:val="00FB1375"/>
    <w:rsid w:val="00FB1407"/>
    <w:rsid w:val="00FB2BB6"/>
    <w:rsid w:val="00FD0A2F"/>
    <w:rsid w:val="00FE5061"/>
    <w:rsid w:val="00FE67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locked="1" w:semiHidden="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1E8"/>
    <w:pPr>
      <w:autoSpaceDE w:val="0"/>
      <w:autoSpaceDN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511E8"/>
    <w:pPr>
      <w:tabs>
        <w:tab w:val="center" w:pos="4677"/>
        <w:tab w:val="right" w:pos="9355"/>
      </w:tabs>
    </w:pPr>
  </w:style>
  <w:style w:type="character" w:customStyle="1" w:styleId="a4">
    <w:name w:val="Верхний колонтитул Знак"/>
    <w:basedOn w:val="a0"/>
    <w:link w:val="a3"/>
    <w:uiPriority w:val="99"/>
    <w:locked/>
    <w:rsid w:val="002E2555"/>
    <w:rPr>
      <w:rFonts w:cs="Times New Roman"/>
      <w:sz w:val="24"/>
      <w:szCs w:val="24"/>
    </w:rPr>
  </w:style>
  <w:style w:type="paragraph" w:styleId="a5">
    <w:name w:val="footer"/>
    <w:basedOn w:val="a"/>
    <w:link w:val="a6"/>
    <w:uiPriority w:val="99"/>
    <w:rsid w:val="00D511E8"/>
    <w:pPr>
      <w:tabs>
        <w:tab w:val="center" w:pos="4677"/>
        <w:tab w:val="right" w:pos="9355"/>
      </w:tabs>
    </w:pPr>
  </w:style>
  <w:style w:type="character" w:customStyle="1" w:styleId="a6">
    <w:name w:val="Нижний колонтитул Знак"/>
    <w:basedOn w:val="a0"/>
    <w:link w:val="a5"/>
    <w:uiPriority w:val="99"/>
    <w:locked/>
    <w:rsid w:val="007303B2"/>
    <w:rPr>
      <w:rFonts w:cs="Times New Roman"/>
      <w:sz w:val="24"/>
      <w:szCs w:val="24"/>
    </w:rPr>
  </w:style>
  <w:style w:type="paragraph" w:customStyle="1" w:styleId="OEM">
    <w:name w:val="Нормальный (OEM)"/>
    <w:basedOn w:val="a"/>
    <w:next w:val="a"/>
    <w:uiPriority w:val="99"/>
    <w:rsid w:val="00D511E8"/>
    <w:pPr>
      <w:jc w:val="both"/>
    </w:pPr>
    <w:rPr>
      <w:rFonts w:ascii="Courier New" w:hAnsi="Courier New" w:cs="Courier New"/>
      <w:sz w:val="20"/>
      <w:szCs w:val="20"/>
    </w:rPr>
  </w:style>
  <w:style w:type="paragraph" w:styleId="a7">
    <w:name w:val="Balloon Text"/>
    <w:basedOn w:val="a"/>
    <w:link w:val="a8"/>
    <w:uiPriority w:val="99"/>
    <w:semiHidden/>
    <w:rsid w:val="000A1815"/>
    <w:rPr>
      <w:rFonts w:ascii="Tahoma" w:hAnsi="Tahoma" w:cs="Tahoma"/>
      <w:sz w:val="16"/>
      <w:szCs w:val="16"/>
    </w:rPr>
  </w:style>
  <w:style w:type="character" w:customStyle="1" w:styleId="a8">
    <w:name w:val="Текст выноски Знак"/>
    <w:basedOn w:val="a0"/>
    <w:link w:val="a7"/>
    <w:uiPriority w:val="99"/>
    <w:semiHidden/>
    <w:locked/>
    <w:rsid w:val="007303B2"/>
    <w:rPr>
      <w:rFonts w:cs="Times New Roman"/>
      <w:sz w:val="2"/>
    </w:rPr>
  </w:style>
  <w:style w:type="table" w:styleId="a9">
    <w:name w:val="Table Grid"/>
    <w:basedOn w:val="a1"/>
    <w:uiPriority w:val="99"/>
    <w:rsid w:val="00CE64D4"/>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uiPriority w:val="99"/>
    <w:rsid w:val="003B197D"/>
    <w:pPr>
      <w:widowControl w:val="0"/>
      <w:autoSpaceDE w:val="0"/>
      <w:autoSpaceDN w:val="0"/>
      <w:jc w:val="both"/>
    </w:pPr>
    <w:rPr>
      <w:rFonts w:ascii="Courier New" w:hAnsi="Courier New" w:cs="Courier New"/>
    </w:rPr>
  </w:style>
  <w:style w:type="paragraph" w:styleId="3">
    <w:name w:val="Body Text Indent 3"/>
    <w:basedOn w:val="a"/>
    <w:link w:val="30"/>
    <w:uiPriority w:val="99"/>
    <w:rsid w:val="00232BD1"/>
    <w:pPr>
      <w:autoSpaceDE/>
      <w:autoSpaceDN/>
      <w:spacing w:after="120"/>
      <w:ind w:left="283"/>
    </w:pPr>
    <w:rPr>
      <w:sz w:val="16"/>
      <w:szCs w:val="16"/>
    </w:rPr>
  </w:style>
  <w:style w:type="character" w:customStyle="1" w:styleId="30">
    <w:name w:val="Основной текст с отступом 3 Знак"/>
    <w:basedOn w:val="a0"/>
    <w:link w:val="3"/>
    <w:uiPriority w:val="99"/>
    <w:semiHidden/>
    <w:locked/>
    <w:rsid w:val="007303B2"/>
    <w:rPr>
      <w:rFonts w:cs="Times New Roman"/>
      <w:sz w:val="16"/>
      <w:szCs w:val="16"/>
    </w:rPr>
  </w:style>
  <w:style w:type="character" w:customStyle="1" w:styleId="SUBST">
    <w:name w:val="__SUBST"/>
    <w:rsid w:val="00232BD1"/>
    <w:rPr>
      <w:b/>
      <w:i/>
      <w:sz w:val="22"/>
    </w:rPr>
  </w:style>
  <w:style w:type="paragraph" w:styleId="aa">
    <w:name w:val="Plain Text"/>
    <w:aliases w:val="Текст Знак Знак Знак Знак Знак Знак Знак Знак Знак Знак"/>
    <w:basedOn w:val="a"/>
    <w:link w:val="ab"/>
    <w:uiPriority w:val="99"/>
    <w:rsid w:val="00232BD1"/>
    <w:pPr>
      <w:autoSpaceDE/>
      <w:autoSpaceDN/>
      <w:jc w:val="both"/>
    </w:pPr>
  </w:style>
  <w:style w:type="character" w:customStyle="1" w:styleId="ab">
    <w:name w:val="Текст Знак"/>
    <w:aliases w:val="Текст Знак Знак Знак Знак Знак Знак Знак Знак Знак Знак Знак"/>
    <w:basedOn w:val="a0"/>
    <w:link w:val="aa"/>
    <w:uiPriority w:val="99"/>
    <w:semiHidden/>
    <w:locked/>
    <w:rsid w:val="00D42645"/>
    <w:rPr>
      <w:rFonts w:cs="Times New Roman"/>
      <w:sz w:val="24"/>
      <w:szCs w:val="24"/>
      <w:lang w:val="ru-RU" w:eastAsia="ru-RU" w:bidi="ar-SA"/>
    </w:rPr>
  </w:style>
  <w:style w:type="paragraph" w:styleId="ac">
    <w:name w:val="Body Text Indent"/>
    <w:basedOn w:val="a"/>
    <w:link w:val="ad"/>
    <w:uiPriority w:val="99"/>
    <w:rsid w:val="00034694"/>
    <w:pPr>
      <w:spacing w:after="120" w:line="480" w:lineRule="auto"/>
    </w:pPr>
  </w:style>
  <w:style w:type="character" w:customStyle="1" w:styleId="ad">
    <w:name w:val="Основной текст с отступом Знак"/>
    <w:basedOn w:val="a0"/>
    <w:link w:val="ac"/>
    <w:uiPriority w:val="99"/>
    <w:semiHidden/>
    <w:locked/>
    <w:rsid w:val="007303B2"/>
    <w:rPr>
      <w:rFonts w:cs="Times New Roman"/>
      <w:sz w:val="24"/>
      <w:szCs w:val="24"/>
    </w:rPr>
  </w:style>
  <w:style w:type="paragraph" w:customStyle="1" w:styleId="BodyText21">
    <w:name w:val="Body Text 21"/>
    <w:basedOn w:val="a"/>
    <w:uiPriority w:val="99"/>
    <w:rsid w:val="00D42645"/>
    <w:pPr>
      <w:autoSpaceDE/>
      <w:autoSpaceDN/>
      <w:spacing w:line="360" w:lineRule="auto"/>
      <w:ind w:firstLine="567"/>
      <w:jc w:val="both"/>
    </w:pPr>
    <w:rPr>
      <w:rFonts w:ascii="Times New Roman CYR" w:hAnsi="Times New Roman CYR" w:cs="Times New Roman CYR"/>
    </w:rPr>
  </w:style>
  <w:style w:type="character" w:styleId="ae">
    <w:name w:val="Hyperlink"/>
    <w:basedOn w:val="a0"/>
    <w:uiPriority w:val="99"/>
    <w:rsid w:val="00FB1407"/>
    <w:rPr>
      <w:rFonts w:cs="Times New Roman"/>
      <w:color w:val="0000FF"/>
      <w:u w:val="single"/>
    </w:rPr>
  </w:style>
  <w:style w:type="paragraph" w:styleId="31">
    <w:name w:val="Body Text 3"/>
    <w:basedOn w:val="a"/>
    <w:link w:val="32"/>
    <w:uiPriority w:val="99"/>
    <w:rsid w:val="00FB1407"/>
    <w:pPr>
      <w:spacing w:after="120"/>
    </w:pPr>
    <w:rPr>
      <w:sz w:val="16"/>
      <w:szCs w:val="16"/>
    </w:rPr>
  </w:style>
  <w:style w:type="character" w:customStyle="1" w:styleId="32">
    <w:name w:val="Основной текст 3 Знак"/>
    <w:basedOn w:val="a0"/>
    <w:link w:val="31"/>
    <w:uiPriority w:val="99"/>
    <w:semiHidden/>
    <w:locked/>
    <w:rsid w:val="007303B2"/>
    <w:rPr>
      <w:rFonts w:cs="Times New Roman"/>
      <w:sz w:val="16"/>
      <w:szCs w:val="16"/>
    </w:rPr>
  </w:style>
  <w:style w:type="paragraph" w:styleId="2">
    <w:name w:val="Body Text 2"/>
    <w:basedOn w:val="a"/>
    <w:link w:val="20"/>
    <w:uiPriority w:val="99"/>
    <w:rsid w:val="005A7703"/>
    <w:pPr>
      <w:spacing w:after="120" w:line="480" w:lineRule="auto"/>
    </w:pPr>
  </w:style>
  <w:style w:type="character" w:customStyle="1" w:styleId="20">
    <w:name w:val="Основной текст 2 Знак"/>
    <w:basedOn w:val="a0"/>
    <w:link w:val="2"/>
    <w:uiPriority w:val="99"/>
    <w:semiHidden/>
    <w:locked/>
    <w:rsid w:val="007303B2"/>
    <w:rPr>
      <w:rFonts w:cs="Times New Roman"/>
      <w:sz w:val="24"/>
      <w:szCs w:val="24"/>
    </w:rPr>
  </w:style>
  <w:style w:type="paragraph" w:customStyle="1" w:styleId="af">
    <w:name w:val="Знак"/>
    <w:basedOn w:val="a"/>
    <w:uiPriority w:val="99"/>
    <w:rsid w:val="00F826E2"/>
    <w:pPr>
      <w:autoSpaceDE/>
      <w:autoSpaceDN/>
      <w:spacing w:after="160" w:line="240" w:lineRule="exact"/>
    </w:pPr>
    <w:rPr>
      <w:rFonts w:ascii="Verdana" w:hAnsi="Verdana" w:cs="Verdana"/>
      <w:sz w:val="20"/>
      <w:szCs w:val="20"/>
      <w:lang w:val="en-US" w:eastAsia="en-US"/>
    </w:rPr>
  </w:style>
  <w:style w:type="paragraph" w:customStyle="1" w:styleId="prilozhenie">
    <w:name w:val="prilozhenie"/>
    <w:basedOn w:val="a"/>
    <w:rsid w:val="00300FB4"/>
    <w:pPr>
      <w:autoSpaceDE/>
      <w:autoSpaceDN/>
      <w:ind w:firstLine="709"/>
      <w:jc w:val="both"/>
    </w:pPr>
    <w:rPr>
      <w:lang w:eastAsia="en-US"/>
    </w:rPr>
  </w:style>
  <w:style w:type="character" w:styleId="af0">
    <w:name w:val="annotation reference"/>
    <w:basedOn w:val="a0"/>
    <w:rsid w:val="00E10A45"/>
    <w:rPr>
      <w:rFonts w:cs="Times New Roman"/>
      <w:sz w:val="16"/>
      <w:szCs w:val="16"/>
    </w:rPr>
  </w:style>
  <w:style w:type="paragraph" w:styleId="af1">
    <w:name w:val="annotation text"/>
    <w:basedOn w:val="a"/>
    <w:link w:val="af2"/>
    <w:rsid w:val="00E10A45"/>
    <w:rPr>
      <w:sz w:val="20"/>
      <w:szCs w:val="20"/>
    </w:rPr>
  </w:style>
  <w:style w:type="character" w:customStyle="1" w:styleId="af2">
    <w:name w:val="Текст примечания Знак"/>
    <w:basedOn w:val="a0"/>
    <w:link w:val="af1"/>
    <w:locked/>
    <w:rsid w:val="00E10A45"/>
    <w:rPr>
      <w:rFonts w:cs="Times New Roman"/>
    </w:rPr>
  </w:style>
  <w:style w:type="paragraph" w:styleId="af3">
    <w:name w:val="annotation subject"/>
    <w:basedOn w:val="af1"/>
    <w:next w:val="af1"/>
    <w:link w:val="af4"/>
    <w:uiPriority w:val="99"/>
    <w:semiHidden/>
    <w:rsid w:val="00E10A45"/>
    <w:rPr>
      <w:b/>
      <w:bCs/>
    </w:rPr>
  </w:style>
  <w:style w:type="character" w:customStyle="1" w:styleId="af4">
    <w:name w:val="Тема примечания Знак"/>
    <w:basedOn w:val="af2"/>
    <w:link w:val="af3"/>
    <w:uiPriority w:val="99"/>
    <w:semiHidden/>
    <w:locked/>
    <w:rsid w:val="00E10A45"/>
    <w:rPr>
      <w:rFonts w:cs="Times New Roman"/>
      <w:b/>
      <w:bCs/>
    </w:rPr>
  </w:style>
  <w:style w:type="character" w:customStyle="1" w:styleId="-">
    <w:name w:val="Проспект -"/>
    <w:uiPriority w:val="99"/>
    <w:rsid w:val="007F4C45"/>
    <w:rPr>
      <w:b/>
      <w:bCs/>
      <w:i/>
      <w:iCs/>
      <w:lang w:val="ru-RU"/>
    </w:rPr>
  </w:style>
  <w:style w:type="paragraph" w:styleId="21">
    <w:name w:val="Body Text Indent 2"/>
    <w:basedOn w:val="a"/>
    <w:link w:val="22"/>
    <w:uiPriority w:val="99"/>
    <w:semiHidden/>
    <w:unhideWhenUsed/>
    <w:rsid w:val="008E4A81"/>
    <w:pPr>
      <w:spacing w:after="120" w:line="480" w:lineRule="auto"/>
      <w:ind w:left="283"/>
    </w:pPr>
  </w:style>
  <w:style w:type="character" w:customStyle="1" w:styleId="22">
    <w:name w:val="Основной текст с отступом 2 Знак"/>
    <w:basedOn w:val="a0"/>
    <w:link w:val="21"/>
    <w:uiPriority w:val="99"/>
    <w:semiHidden/>
    <w:rsid w:val="008E4A81"/>
    <w:rPr>
      <w:sz w:val="24"/>
      <w:szCs w:val="24"/>
    </w:rPr>
  </w:style>
  <w:style w:type="paragraph" w:customStyle="1" w:styleId="ConsPlusNormal">
    <w:name w:val="ConsPlusNormal"/>
    <w:rsid w:val="00026E80"/>
    <w:pPr>
      <w:autoSpaceDE w:val="0"/>
      <w:autoSpaceDN w:val="0"/>
      <w:adjustRightInd w:val="0"/>
    </w:pPr>
    <w:rPr>
      <w:rFonts w:ascii="Arial" w:hAnsi="Arial" w:cs="Arial"/>
    </w:rPr>
  </w:style>
  <w:style w:type="character" w:styleId="af5">
    <w:name w:val="Strong"/>
    <w:basedOn w:val="a0"/>
    <w:uiPriority w:val="22"/>
    <w:qFormat/>
    <w:locked/>
    <w:rsid w:val="00537A52"/>
    <w:rPr>
      <w:b/>
      <w:bCs/>
    </w:rPr>
  </w:style>
  <w:style w:type="character" w:customStyle="1" w:styleId="apple-converted-space">
    <w:name w:val="apple-converted-space"/>
    <w:basedOn w:val="a0"/>
    <w:rsid w:val="00EE1C8A"/>
  </w:style>
  <w:style w:type="character" w:customStyle="1" w:styleId="Style12pt">
    <w:name w:val="Style 12 pt"/>
    <w:rsid w:val="00525722"/>
    <w:rPr>
      <w:sz w:val="22"/>
    </w:rPr>
  </w:style>
  <w:style w:type="character" w:styleId="af6">
    <w:name w:val="FollowedHyperlink"/>
    <w:basedOn w:val="a0"/>
    <w:uiPriority w:val="99"/>
    <w:semiHidden/>
    <w:unhideWhenUsed/>
    <w:rsid w:val="003B3EC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locked="1" w:semiHidden="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1E8"/>
    <w:pPr>
      <w:autoSpaceDE w:val="0"/>
      <w:autoSpaceDN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511E8"/>
    <w:pPr>
      <w:tabs>
        <w:tab w:val="center" w:pos="4677"/>
        <w:tab w:val="right" w:pos="9355"/>
      </w:tabs>
    </w:pPr>
  </w:style>
  <w:style w:type="character" w:customStyle="1" w:styleId="a4">
    <w:name w:val="Верхний колонтитул Знак"/>
    <w:basedOn w:val="a0"/>
    <w:link w:val="a3"/>
    <w:uiPriority w:val="99"/>
    <w:locked/>
    <w:rsid w:val="002E2555"/>
    <w:rPr>
      <w:rFonts w:cs="Times New Roman"/>
      <w:sz w:val="24"/>
      <w:szCs w:val="24"/>
    </w:rPr>
  </w:style>
  <w:style w:type="paragraph" w:styleId="a5">
    <w:name w:val="footer"/>
    <w:basedOn w:val="a"/>
    <w:link w:val="a6"/>
    <w:uiPriority w:val="99"/>
    <w:rsid w:val="00D511E8"/>
    <w:pPr>
      <w:tabs>
        <w:tab w:val="center" w:pos="4677"/>
        <w:tab w:val="right" w:pos="9355"/>
      </w:tabs>
    </w:pPr>
  </w:style>
  <w:style w:type="character" w:customStyle="1" w:styleId="a6">
    <w:name w:val="Нижний колонтитул Знак"/>
    <w:basedOn w:val="a0"/>
    <w:link w:val="a5"/>
    <w:uiPriority w:val="99"/>
    <w:locked/>
    <w:rsid w:val="007303B2"/>
    <w:rPr>
      <w:rFonts w:cs="Times New Roman"/>
      <w:sz w:val="24"/>
      <w:szCs w:val="24"/>
    </w:rPr>
  </w:style>
  <w:style w:type="paragraph" w:customStyle="1" w:styleId="OEM">
    <w:name w:val="Нормальный (OEM)"/>
    <w:basedOn w:val="a"/>
    <w:next w:val="a"/>
    <w:uiPriority w:val="99"/>
    <w:rsid w:val="00D511E8"/>
    <w:pPr>
      <w:jc w:val="both"/>
    </w:pPr>
    <w:rPr>
      <w:rFonts w:ascii="Courier New" w:hAnsi="Courier New" w:cs="Courier New"/>
      <w:sz w:val="20"/>
      <w:szCs w:val="20"/>
    </w:rPr>
  </w:style>
  <w:style w:type="paragraph" w:styleId="a7">
    <w:name w:val="Balloon Text"/>
    <w:basedOn w:val="a"/>
    <w:link w:val="a8"/>
    <w:uiPriority w:val="99"/>
    <w:semiHidden/>
    <w:rsid w:val="000A1815"/>
    <w:rPr>
      <w:rFonts w:ascii="Tahoma" w:hAnsi="Tahoma" w:cs="Tahoma"/>
      <w:sz w:val="16"/>
      <w:szCs w:val="16"/>
    </w:rPr>
  </w:style>
  <w:style w:type="character" w:customStyle="1" w:styleId="a8">
    <w:name w:val="Текст выноски Знак"/>
    <w:basedOn w:val="a0"/>
    <w:link w:val="a7"/>
    <w:uiPriority w:val="99"/>
    <w:semiHidden/>
    <w:locked/>
    <w:rsid w:val="007303B2"/>
    <w:rPr>
      <w:rFonts w:cs="Times New Roman"/>
      <w:sz w:val="2"/>
    </w:rPr>
  </w:style>
  <w:style w:type="table" w:styleId="a9">
    <w:name w:val="Table Grid"/>
    <w:basedOn w:val="a1"/>
    <w:uiPriority w:val="99"/>
    <w:rsid w:val="00CE64D4"/>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uiPriority w:val="99"/>
    <w:rsid w:val="003B197D"/>
    <w:pPr>
      <w:widowControl w:val="0"/>
      <w:autoSpaceDE w:val="0"/>
      <w:autoSpaceDN w:val="0"/>
      <w:jc w:val="both"/>
    </w:pPr>
    <w:rPr>
      <w:rFonts w:ascii="Courier New" w:hAnsi="Courier New" w:cs="Courier New"/>
    </w:rPr>
  </w:style>
  <w:style w:type="paragraph" w:styleId="3">
    <w:name w:val="Body Text Indent 3"/>
    <w:basedOn w:val="a"/>
    <w:link w:val="30"/>
    <w:uiPriority w:val="99"/>
    <w:rsid w:val="00232BD1"/>
    <w:pPr>
      <w:autoSpaceDE/>
      <w:autoSpaceDN/>
      <w:spacing w:after="120"/>
      <w:ind w:left="283"/>
    </w:pPr>
    <w:rPr>
      <w:sz w:val="16"/>
      <w:szCs w:val="16"/>
    </w:rPr>
  </w:style>
  <w:style w:type="character" w:customStyle="1" w:styleId="30">
    <w:name w:val="Основной текст с отступом 3 Знак"/>
    <w:basedOn w:val="a0"/>
    <w:link w:val="3"/>
    <w:uiPriority w:val="99"/>
    <w:semiHidden/>
    <w:locked/>
    <w:rsid w:val="007303B2"/>
    <w:rPr>
      <w:rFonts w:cs="Times New Roman"/>
      <w:sz w:val="16"/>
      <w:szCs w:val="16"/>
    </w:rPr>
  </w:style>
  <w:style w:type="character" w:customStyle="1" w:styleId="SUBST">
    <w:name w:val="__SUBST"/>
    <w:rsid w:val="00232BD1"/>
    <w:rPr>
      <w:b/>
      <w:i/>
      <w:sz w:val="22"/>
    </w:rPr>
  </w:style>
  <w:style w:type="paragraph" w:styleId="aa">
    <w:name w:val="Plain Text"/>
    <w:aliases w:val="Текст Знак Знак Знак Знак Знак Знак Знак Знак Знак Знак"/>
    <w:basedOn w:val="a"/>
    <w:link w:val="ab"/>
    <w:uiPriority w:val="99"/>
    <w:rsid w:val="00232BD1"/>
    <w:pPr>
      <w:autoSpaceDE/>
      <w:autoSpaceDN/>
      <w:jc w:val="both"/>
    </w:pPr>
  </w:style>
  <w:style w:type="character" w:customStyle="1" w:styleId="ab">
    <w:name w:val="Текст Знак"/>
    <w:aliases w:val="Текст Знак Знак Знак Знак Знак Знак Знак Знак Знак Знак Знак"/>
    <w:basedOn w:val="a0"/>
    <w:link w:val="aa"/>
    <w:uiPriority w:val="99"/>
    <w:semiHidden/>
    <w:locked/>
    <w:rsid w:val="00D42645"/>
    <w:rPr>
      <w:rFonts w:cs="Times New Roman"/>
      <w:sz w:val="24"/>
      <w:szCs w:val="24"/>
      <w:lang w:val="ru-RU" w:eastAsia="ru-RU" w:bidi="ar-SA"/>
    </w:rPr>
  </w:style>
  <w:style w:type="paragraph" w:styleId="ac">
    <w:name w:val="Body Text Indent"/>
    <w:basedOn w:val="a"/>
    <w:link w:val="ad"/>
    <w:uiPriority w:val="99"/>
    <w:rsid w:val="00034694"/>
    <w:pPr>
      <w:spacing w:after="120" w:line="480" w:lineRule="auto"/>
    </w:pPr>
  </w:style>
  <w:style w:type="character" w:customStyle="1" w:styleId="ad">
    <w:name w:val="Основной текст с отступом Знак"/>
    <w:basedOn w:val="a0"/>
    <w:link w:val="ac"/>
    <w:uiPriority w:val="99"/>
    <w:semiHidden/>
    <w:locked/>
    <w:rsid w:val="007303B2"/>
    <w:rPr>
      <w:rFonts w:cs="Times New Roman"/>
      <w:sz w:val="24"/>
      <w:szCs w:val="24"/>
    </w:rPr>
  </w:style>
  <w:style w:type="paragraph" w:customStyle="1" w:styleId="BodyText21">
    <w:name w:val="Body Text 21"/>
    <w:basedOn w:val="a"/>
    <w:uiPriority w:val="99"/>
    <w:rsid w:val="00D42645"/>
    <w:pPr>
      <w:autoSpaceDE/>
      <w:autoSpaceDN/>
      <w:spacing w:line="360" w:lineRule="auto"/>
      <w:ind w:firstLine="567"/>
      <w:jc w:val="both"/>
    </w:pPr>
    <w:rPr>
      <w:rFonts w:ascii="Times New Roman CYR" w:hAnsi="Times New Roman CYR" w:cs="Times New Roman CYR"/>
    </w:rPr>
  </w:style>
  <w:style w:type="character" w:styleId="ae">
    <w:name w:val="Hyperlink"/>
    <w:basedOn w:val="a0"/>
    <w:uiPriority w:val="99"/>
    <w:rsid w:val="00FB1407"/>
    <w:rPr>
      <w:rFonts w:cs="Times New Roman"/>
      <w:color w:val="0000FF"/>
      <w:u w:val="single"/>
    </w:rPr>
  </w:style>
  <w:style w:type="paragraph" w:styleId="31">
    <w:name w:val="Body Text 3"/>
    <w:basedOn w:val="a"/>
    <w:link w:val="32"/>
    <w:uiPriority w:val="99"/>
    <w:rsid w:val="00FB1407"/>
    <w:pPr>
      <w:spacing w:after="120"/>
    </w:pPr>
    <w:rPr>
      <w:sz w:val="16"/>
      <w:szCs w:val="16"/>
    </w:rPr>
  </w:style>
  <w:style w:type="character" w:customStyle="1" w:styleId="32">
    <w:name w:val="Основной текст 3 Знак"/>
    <w:basedOn w:val="a0"/>
    <w:link w:val="31"/>
    <w:uiPriority w:val="99"/>
    <w:semiHidden/>
    <w:locked/>
    <w:rsid w:val="007303B2"/>
    <w:rPr>
      <w:rFonts w:cs="Times New Roman"/>
      <w:sz w:val="16"/>
      <w:szCs w:val="16"/>
    </w:rPr>
  </w:style>
  <w:style w:type="paragraph" w:styleId="2">
    <w:name w:val="Body Text 2"/>
    <w:basedOn w:val="a"/>
    <w:link w:val="20"/>
    <w:uiPriority w:val="99"/>
    <w:rsid w:val="005A7703"/>
    <w:pPr>
      <w:spacing w:after="120" w:line="480" w:lineRule="auto"/>
    </w:pPr>
  </w:style>
  <w:style w:type="character" w:customStyle="1" w:styleId="20">
    <w:name w:val="Основной текст 2 Знак"/>
    <w:basedOn w:val="a0"/>
    <w:link w:val="2"/>
    <w:uiPriority w:val="99"/>
    <w:semiHidden/>
    <w:locked/>
    <w:rsid w:val="007303B2"/>
    <w:rPr>
      <w:rFonts w:cs="Times New Roman"/>
      <w:sz w:val="24"/>
      <w:szCs w:val="24"/>
    </w:rPr>
  </w:style>
  <w:style w:type="paragraph" w:customStyle="1" w:styleId="af">
    <w:name w:val="Знак"/>
    <w:basedOn w:val="a"/>
    <w:uiPriority w:val="99"/>
    <w:rsid w:val="00F826E2"/>
    <w:pPr>
      <w:autoSpaceDE/>
      <w:autoSpaceDN/>
      <w:spacing w:after="160" w:line="240" w:lineRule="exact"/>
    </w:pPr>
    <w:rPr>
      <w:rFonts w:ascii="Verdana" w:hAnsi="Verdana" w:cs="Verdana"/>
      <w:sz w:val="20"/>
      <w:szCs w:val="20"/>
      <w:lang w:val="en-US" w:eastAsia="en-US"/>
    </w:rPr>
  </w:style>
  <w:style w:type="paragraph" w:customStyle="1" w:styleId="prilozhenie">
    <w:name w:val="prilozhenie"/>
    <w:basedOn w:val="a"/>
    <w:rsid w:val="00300FB4"/>
    <w:pPr>
      <w:autoSpaceDE/>
      <w:autoSpaceDN/>
      <w:ind w:firstLine="709"/>
      <w:jc w:val="both"/>
    </w:pPr>
    <w:rPr>
      <w:lang w:eastAsia="en-US"/>
    </w:rPr>
  </w:style>
  <w:style w:type="character" w:styleId="af0">
    <w:name w:val="annotation reference"/>
    <w:basedOn w:val="a0"/>
    <w:rsid w:val="00E10A45"/>
    <w:rPr>
      <w:rFonts w:cs="Times New Roman"/>
      <w:sz w:val="16"/>
      <w:szCs w:val="16"/>
    </w:rPr>
  </w:style>
  <w:style w:type="paragraph" w:styleId="af1">
    <w:name w:val="annotation text"/>
    <w:basedOn w:val="a"/>
    <w:link w:val="af2"/>
    <w:rsid w:val="00E10A45"/>
    <w:rPr>
      <w:sz w:val="20"/>
      <w:szCs w:val="20"/>
    </w:rPr>
  </w:style>
  <w:style w:type="character" w:customStyle="1" w:styleId="af2">
    <w:name w:val="Текст примечания Знак"/>
    <w:basedOn w:val="a0"/>
    <w:link w:val="af1"/>
    <w:locked/>
    <w:rsid w:val="00E10A45"/>
    <w:rPr>
      <w:rFonts w:cs="Times New Roman"/>
    </w:rPr>
  </w:style>
  <w:style w:type="paragraph" w:styleId="af3">
    <w:name w:val="annotation subject"/>
    <w:basedOn w:val="af1"/>
    <w:next w:val="af1"/>
    <w:link w:val="af4"/>
    <w:uiPriority w:val="99"/>
    <w:semiHidden/>
    <w:rsid w:val="00E10A45"/>
    <w:rPr>
      <w:b/>
      <w:bCs/>
    </w:rPr>
  </w:style>
  <w:style w:type="character" w:customStyle="1" w:styleId="af4">
    <w:name w:val="Тема примечания Знак"/>
    <w:basedOn w:val="af2"/>
    <w:link w:val="af3"/>
    <w:uiPriority w:val="99"/>
    <w:semiHidden/>
    <w:locked/>
    <w:rsid w:val="00E10A45"/>
    <w:rPr>
      <w:rFonts w:cs="Times New Roman"/>
      <w:b/>
      <w:bCs/>
    </w:rPr>
  </w:style>
  <w:style w:type="character" w:customStyle="1" w:styleId="-">
    <w:name w:val="Проспект -"/>
    <w:uiPriority w:val="99"/>
    <w:rsid w:val="007F4C45"/>
    <w:rPr>
      <w:b/>
      <w:bCs/>
      <w:i/>
      <w:iCs/>
      <w:lang w:val="ru-RU"/>
    </w:rPr>
  </w:style>
  <w:style w:type="paragraph" w:styleId="21">
    <w:name w:val="Body Text Indent 2"/>
    <w:basedOn w:val="a"/>
    <w:link w:val="22"/>
    <w:uiPriority w:val="99"/>
    <w:semiHidden/>
    <w:unhideWhenUsed/>
    <w:rsid w:val="008E4A81"/>
    <w:pPr>
      <w:spacing w:after="120" w:line="480" w:lineRule="auto"/>
      <w:ind w:left="283"/>
    </w:pPr>
  </w:style>
  <w:style w:type="character" w:customStyle="1" w:styleId="22">
    <w:name w:val="Основной текст с отступом 2 Знак"/>
    <w:basedOn w:val="a0"/>
    <w:link w:val="21"/>
    <w:uiPriority w:val="99"/>
    <w:semiHidden/>
    <w:rsid w:val="008E4A81"/>
    <w:rPr>
      <w:sz w:val="24"/>
      <w:szCs w:val="24"/>
    </w:rPr>
  </w:style>
  <w:style w:type="paragraph" w:customStyle="1" w:styleId="ConsPlusNormal">
    <w:name w:val="ConsPlusNormal"/>
    <w:rsid w:val="00026E80"/>
    <w:pPr>
      <w:autoSpaceDE w:val="0"/>
      <w:autoSpaceDN w:val="0"/>
      <w:adjustRightInd w:val="0"/>
    </w:pPr>
    <w:rPr>
      <w:rFonts w:ascii="Arial" w:hAnsi="Arial" w:cs="Arial"/>
    </w:rPr>
  </w:style>
  <w:style w:type="character" w:styleId="af5">
    <w:name w:val="Strong"/>
    <w:basedOn w:val="a0"/>
    <w:uiPriority w:val="22"/>
    <w:qFormat/>
    <w:locked/>
    <w:rsid w:val="00537A52"/>
    <w:rPr>
      <w:b/>
      <w:bCs/>
    </w:rPr>
  </w:style>
  <w:style w:type="character" w:customStyle="1" w:styleId="apple-converted-space">
    <w:name w:val="apple-converted-space"/>
    <w:basedOn w:val="a0"/>
    <w:rsid w:val="00EE1C8A"/>
  </w:style>
  <w:style w:type="character" w:customStyle="1" w:styleId="Style12pt">
    <w:name w:val="Style 12 pt"/>
    <w:rsid w:val="00525722"/>
    <w:rPr>
      <w:sz w:val="22"/>
    </w:rPr>
  </w:style>
  <w:style w:type="character" w:styleId="af6">
    <w:name w:val="FollowedHyperlink"/>
    <w:basedOn w:val="a0"/>
    <w:uiPriority w:val="99"/>
    <w:semiHidden/>
    <w:unhideWhenUsed/>
    <w:rsid w:val="003B3E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27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isclosure.ru/portal/company.aspx?id=8251" TargetMode="External"/><Relationship Id="rId5" Type="http://schemas.openxmlformats.org/officeDocument/2006/relationships/settings" Target="settings.xml"/><Relationship Id="rId10" Type="http://schemas.openxmlformats.org/officeDocument/2006/relationships/hyperlink" Target="https://www.e-disclosure.ru/portal/event.aspx?EventId=2Cjr-C-AdmQkGMDfik8WB5WA-B-B" TargetMode="External"/><Relationship Id="rId4" Type="http://schemas.microsoft.com/office/2007/relationships/stylesWithEffects" Target="stylesWithEffects.xml"/><Relationship Id="rId9" Type="http://schemas.openxmlformats.org/officeDocument/2006/relationships/hyperlink" Target="http://www.e-disclosure.ru/portal/company.aspx?id=825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bd5b5c17-ff0e-4a45-8ade-b1db9e1fb804">
  <element uid="id_classification_internalonly" value=""/>
</sisl>
</file>

<file path=customXml/itemProps1.xml><?xml version="1.0" encoding="utf-8"?>
<ds:datastoreItem xmlns:ds="http://schemas.openxmlformats.org/officeDocument/2006/customXml" ds:itemID="{45C01F70-F4DB-4B1A-ABF1-ED62076B1B3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1756</Words>
  <Characters>12648</Characters>
  <Application>Microsoft Office Word</Application>
  <DocSecurity>0</DocSecurity>
  <Lines>105</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16</vt:lpstr>
      <vt:lpstr>Приложение 16</vt:lpstr>
    </vt:vector>
  </TitlesOfParts>
  <Company>garant</Company>
  <LinksUpToDate>false</LinksUpToDate>
  <CharactersWithSpaces>14376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16</dc:title>
  <dc:creator>natasha bezlepkina</dc:creator>
  <cp:lastModifiedBy>Petrov Pavel</cp:lastModifiedBy>
  <cp:revision>8</cp:revision>
  <cp:lastPrinted>2012-09-12T06:08:00Z</cp:lastPrinted>
  <dcterms:created xsi:type="dcterms:W3CDTF">2016-04-27T14:25:00Z</dcterms:created>
  <dcterms:modified xsi:type="dcterms:W3CDTF">2016-10-03T09:38:00Z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4744dc53-fbf6-4aa7-860b-839ff16a57aa</vt:lpwstr>
  </property>
  <property fmtid="{D5CDD505-2E9C-101B-9397-08002B2CF9AE}" pid="3" name="bjSaver">
    <vt:lpwstr>gQOfRdzZQ433S4loAiw6XrWakJtrqMZ9</vt:lpwstr>
  </property>
  <property fmtid="{D5CDD505-2E9C-101B-9397-08002B2CF9AE}" pid="4" name="bjDocumentLabelXML">
    <vt:lpwstr>&lt;?xml version="1.0" encoding="us-ascii"?&gt;&lt;sisl xmlns:xsi="http://www.w3.org/2001/XMLSchema-instance" xmlns:xsd="http://www.w3.org/2001/XMLSchema" sislVersion="0" policy="bd5b5c17-ff0e-4a45-8ade-b1db9e1fb804" xmlns="http://www.boldonjames.com/2008/01/sie/i</vt:lpwstr>
  </property>
  <property fmtid="{D5CDD505-2E9C-101B-9397-08002B2CF9AE}" pid="5" name="bjDocumentLabelXML-0">
    <vt:lpwstr>nternal/label"&gt;&lt;element uid="id_classification_internalonly" value="" /&gt;&lt;/sisl&gt;</vt:lpwstr>
  </property>
  <property fmtid="{D5CDD505-2E9C-101B-9397-08002B2CF9AE}" pid="6" name="bjDocumentSecurityLabel">
    <vt:lpwstr>Для внутреннего пользования (C1 - Internal)</vt:lpwstr>
  </property>
</Properties>
</file>